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B8690" w14:textId="77777777" w:rsidR="00F231C6" w:rsidRDefault="00F231C6">
      <w:pPr>
        <w:widowControl w:val="0"/>
        <w:pBdr>
          <w:top w:val="nil"/>
          <w:left w:val="nil"/>
          <w:bottom w:val="nil"/>
          <w:right w:val="nil"/>
          <w:between w:val="nil"/>
        </w:pBdr>
        <w:spacing w:line="276" w:lineRule="auto"/>
      </w:pPr>
    </w:p>
    <w:p w14:paraId="5F660FDD" w14:textId="77777777" w:rsidR="00F231C6" w:rsidRDefault="00F231C6">
      <w:pPr>
        <w:widowControl w:val="0"/>
        <w:pBdr>
          <w:top w:val="nil"/>
          <w:left w:val="nil"/>
          <w:bottom w:val="nil"/>
          <w:right w:val="nil"/>
          <w:between w:val="nil"/>
        </w:pBdr>
        <w:spacing w:line="276" w:lineRule="auto"/>
      </w:pPr>
    </w:p>
    <w:p w14:paraId="697B6B0C" w14:textId="77777777" w:rsidR="00F231C6" w:rsidRDefault="00000000">
      <w:pPr>
        <w:pBdr>
          <w:top w:val="nil"/>
          <w:left w:val="nil"/>
          <w:bottom w:val="nil"/>
          <w:right w:val="nil"/>
          <w:between w:val="nil"/>
        </w:pBdr>
        <w:ind w:left="720" w:hanging="360"/>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1AF5A900" wp14:editId="5D612AC2">
            <wp:extent cx="5659755" cy="1014730"/>
            <wp:effectExtent l="0" t="0" r="0" b="0"/>
            <wp:docPr id="1891521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59755" cy="1014730"/>
                    </a:xfrm>
                    <a:prstGeom prst="rect">
                      <a:avLst/>
                    </a:prstGeom>
                    <a:ln/>
                  </pic:spPr>
                </pic:pic>
              </a:graphicData>
            </a:graphic>
          </wp:inline>
        </w:drawing>
      </w:r>
    </w:p>
    <w:p w14:paraId="3EC69C6D" w14:textId="77777777" w:rsidR="00F231C6" w:rsidRDefault="00F231C6">
      <w:pPr>
        <w:pBdr>
          <w:top w:val="nil"/>
          <w:left w:val="nil"/>
          <w:bottom w:val="nil"/>
          <w:right w:val="nil"/>
          <w:between w:val="nil"/>
        </w:pBdr>
        <w:ind w:left="720" w:hanging="360"/>
        <w:jc w:val="both"/>
        <w:rPr>
          <w:rFonts w:ascii="Calibri" w:eastAsia="Calibri" w:hAnsi="Calibri" w:cs="Calibri"/>
          <w:color w:val="000000"/>
          <w:sz w:val="22"/>
          <w:szCs w:val="22"/>
        </w:rPr>
      </w:pPr>
    </w:p>
    <w:p w14:paraId="646BDF1B" w14:textId="77777777" w:rsidR="00F231C6" w:rsidRDefault="00F231C6">
      <w:pPr>
        <w:pBdr>
          <w:top w:val="nil"/>
          <w:left w:val="nil"/>
          <w:bottom w:val="nil"/>
          <w:right w:val="nil"/>
          <w:between w:val="nil"/>
        </w:pBdr>
        <w:ind w:left="1080" w:hanging="360"/>
        <w:jc w:val="both"/>
        <w:rPr>
          <w:rFonts w:ascii="Calibri" w:eastAsia="Calibri" w:hAnsi="Calibri" w:cs="Calibri"/>
          <w:color w:val="000000"/>
          <w:sz w:val="24"/>
          <w:szCs w:val="24"/>
        </w:rPr>
      </w:pPr>
    </w:p>
    <w:p w14:paraId="195B0306" w14:textId="77777777" w:rsidR="00F231C6" w:rsidRDefault="00000000">
      <w:pPr>
        <w:pBdr>
          <w:top w:val="nil"/>
          <w:left w:val="nil"/>
          <w:bottom w:val="nil"/>
          <w:right w:val="nil"/>
          <w:between w:val="nil"/>
        </w:pBdr>
        <w:ind w:left="1080"/>
        <w:jc w:val="both"/>
        <w:rPr>
          <w:rFonts w:ascii="Calibri" w:eastAsia="Calibri" w:hAnsi="Calibri" w:cs="Calibri"/>
          <w:color w:val="000000"/>
          <w:sz w:val="24"/>
          <w:szCs w:val="24"/>
        </w:rPr>
      </w:pPr>
      <w:r>
        <w:rPr>
          <w:rFonts w:ascii="Calibri" w:eastAsia="Calibri" w:hAnsi="Calibri" w:cs="Calibri"/>
          <w:b/>
          <w:color w:val="000000"/>
          <w:sz w:val="24"/>
          <w:szCs w:val="24"/>
        </w:rPr>
        <w:t>POSITION:</w:t>
      </w:r>
      <w:r>
        <w:rPr>
          <w:rFonts w:ascii="Calibri" w:eastAsia="Calibri" w:hAnsi="Calibri" w:cs="Calibri"/>
          <w:b/>
          <w:color w:val="000000"/>
          <w:sz w:val="22"/>
          <w:szCs w:val="22"/>
        </w:rPr>
        <w:t xml:space="preserve"> </w:t>
      </w:r>
      <w:r>
        <w:rPr>
          <w:rFonts w:ascii="Calibri" w:eastAsia="Calibri" w:hAnsi="Calibri" w:cs="Calibri"/>
          <w:b/>
          <w:sz w:val="22"/>
          <w:szCs w:val="22"/>
        </w:rPr>
        <w:t>Expert</w:t>
      </w:r>
      <w:r>
        <w:rPr>
          <w:rFonts w:ascii="Calibri" w:eastAsia="Calibri" w:hAnsi="Calibri" w:cs="Calibri"/>
          <w:b/>
          <w:color w:val="000000"/>
          <w:sz w:val="22"/>
          <w:szCs w:val="22"/>
        </w:rPr>
        <w:t xml:space="preserve"> </w:t>
      </w:r>
      <w:r>
        <w:rPr>
          <w:rFonts w:ascii="Calibri" w:eastAsia="Calibri" w:hAnsi="Calibri" w:cs="Calibri"/>
          <w:b/>
          <w:sz w:val="22"/>
          <w:szCs w:val="22"/>
        </w:rPr>
        <w:t>(Digital Transformation of Education</w:t>
      </w:r>
      <w:r>
        <w:rPr>
          <w:rFonts w:ascii="Calibri" w:eastAsia="Calibri" w:hAnsi="Calibri" w:cs="Calibri"/>
          <w:b/>
          <w:color w:val="000000"/>
          <w:sz w:val="22"/>
          <w:szCs w:val="22"/>
        </w:rPr>
        <w:t xml:space="preserve">), </w:t>
      </w:r>
      <w:r>
        <w:rPr>
          <w:rFonts w:ascii="Calibri" w:eastAsia="Calibri" w:hAnsi="Calibri" w:cs="Calibri"/>
          <w:b/>
          <w:sz w:val="22"/>
          <w:szCs w:val="22"/>
        </w:rPr>
        <w:t>Category 2</w:t>
      </w:r>
    </w:p>
    <w:p w14:paraId="538FCC74" w14:textId="77777777" w:rsidR="00F231C6" w:rsidRDefault="00F231C6">
      <w:pPr>
        <w:pBdr>
          <w:top w:val="nil"/>
          <w:left w:val="nil"/>
          <w:bottom w:val="nil"/>
          <w:right w:val="nil"/>
          <w:between w:val="nil"/>
        </w:pBdr>
        <w:ind w:left="1080" w:hanging="360"/>
        <w:jc w:val="both"/>
        <w:rPr>
          <w:rFonts w:ascii="Calibri" w:eastAsia="Calibri" w:hAnsi="Calibri" w:cs="Calibri"/>
          <w:color w:val="000000"/>
          <w:sz w:val="22"/>
          <w:szCs w:val="22"/>
        </w:rPr>
      </w:pPr>
    </w:p>
    <w:p w14:paraId="4EA35EB9" w14:textId="77777777" w:rsidR="00F231C6" w:rsidRDefault="00F231C6">
      <w:pPr>
        <w:pBdr>
          <w:top w:val="nil"/>
          <w:left w:val="nil"/>
          <w:bottom w:val="nil"/>
          <w:right w:val="nil"/>
          <w:between w:val="nil"/>
        </w:pBdr>
        <w:ind w:left="720" w:hanging="360"/>
        <w:jc w:val="both"/>
        <w:rPr>
          <w:rFonts w:ascii="Calibri" w:eastAsia="Calibri" w:hAnsi="Calibri" w:cs="Calibri"/>
          <w:color w:val="000000"/>
          <w:sz w:val="22"/>
          <w:szCs w:val="22"/>
        </w:rPr>
      </w:pPr>
    </w:p>
    <w:p w14:paraId="6C75BE37" w14:textId="77777777" w:rsidR="00F231C6"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1. Objective(s) and Linkages to Reforms  </w:t>
      </w:r>
    </w:p>
    <w:p w14:paraId="7C0F2A1B" w14:textId="77777777" w:rsidR="00F231C6" w:rsidRDefault="00F231C6">
      <w:pPr>
        <w:pBdr>
          <w:top w:val="nil"/>
          <w:left w:val="nil"/>
          <w:bottom w:val="nil"/>
          <w:right w:val="nil"/>
          <w:between w:val="nil"/>
        </w:pBdr>
        <w:jc w:val="both"/>
        <w:rPr>
          <w:rFonts w:ascii="Calibri" w:eastAsia="Calibri" w:hAnsi="Calibri" w:cs="Calibri"/>
          <w:color w:val="000000"/>
          <w:sz w:val="22"/>
          <w:szCs w:val="22"/>
        </w:rPr>
      </w:pPr>
    </w:p>
    <w:p w14:paraId="6CCF3DD3" w14:textId="77777777" w:rsidR="00F231C6" w:rsidRDefault="00000000">
      <w:pPr>
        <w:spacing w:after="160" w:line="259" w:lineRule="auto"/>
        <w:jc w:val="both"/>
        <w:rPr>
          <w:rFonts w:ascii="Calibri" w:eastAsia="Calibri" w:hAnsi="Calibri" w:cs="Calibri"/>
          <w:sz w:val="22"/>
          <w:szCs w:val="22"/>
        </w:rPr>
      </w:pPr>
      <w:r>
        <w:rPr>
          <w:rFonts w:ascii="Calibri" w:eastAsia="Calibri" w:hAnsi="Calibri" w:cs="Calibri"/>
          <w:sz w:val="22"/>
          <w:szCs w:val="22"/>
        </w:rPr>
        <w:t>The Recovery and Reform Support Team (RST) at the Ministry of Education and Science of Ukraine (MoES) is a group of Ukrainian professionals (non-civil servants) funded on 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6583B6C5" w14:textId="77777777" w:rsidR="00F231C6" w:rsidRDefault="00000000">
      <w:pPr>
        <w:spacing w:after="160" w:line="259" w:lineRule="auto"/>
        <w:jc w:val="both"/>
        <w:rPr>
          <w:rFonts w:ascii="Calibri" w:eastAsia="Calibri" w:hAnsi="Calibri" w:cs="Calibri"/>
          <w:sz w:val="22"/>
          <w:szCs w:val="22"/>
        </w:rPr>
      </w:pPr>
      <w:r>
        <w:rPr>
          <w:rFonts w:ascii="Calibri" w:eastAsia="Calibri" w:hAnsi="Calibri" w:cs="Calibri"/>
          <w:sz w:val="22"/>
          <w:szCs w:val="22"/>
        </w:rPr>
        <w:t xml:space="preserve">The RST is part of the Ukraine Recovery and Reform Architecture Programme (URA), </w:t>
      </w:r>
      <w:r>
        <w:rPr>
          <w:rFonts w:ascii="Calibri" w:eastAsia="Calibri" w:hAnsi="Calibri" w:cs="Calibri"/>
          <w:sz w:val="22"/>
          <w:szCs w:val="22"/>
          <w:highlight w:val="white"/>
        </w:rPr>
        <w:t>a comprehensive technical assistance programme deployed by the European Bank for Reconstruction and Development (EBRD), in partnership with the European Union, to support critical reform processes in Ukraine.</w:t>
      </w:r>
    </w:p>
    <w:p w14:paraId="09078BCC" w14:textId="77777777" w:rsidR="00F231C6" w:rsidRDefault="00000000">
      <w:pPr>
        <w:spacing w:after="160" w:line="259" w:lineRule="auto"/>
        <w:jc w:val="both"/>
        <w:rPr>
          <w:rFonts w:ascii="Calibri" w:eastAsia="Calibri" w:hAnsi="Calibri" w:cs="Calibri"/>
          <w:sz w:val="22"/>
          <w:szCs w:val="22"/>
        </w:rPr>
      </w:pPr>
      <w:r>
        <w:rPr>
          <w:rFonts w:ascii="Calibri" w:eastAsia="Calibri" w:hAnsi="Calibri" w:cs="Calibri"/>
          <w:sz w:val="22"/>
          <w:szCs w:val="22"/>
        </w:rPr>
        <w:t>The RST assists the MoES in the implementation of priority education reforms in the following areas: Early Childhood and Preschool Education, general secondary education reform – the New Ukrainian School (NUS), Vocational Education and Training (VET), as well as Public Administration Reform (PAR) and Digital Transformation of Education.</w:t>
      </w:r>
    </w:p>
    <w:p w14:paraId="018AB7A0" w14:textId="77777777" w:rsidR="00F231C6" w:rsidRDefault="00F231C6">
      <w:pPr>
        <w:pBdr>
          <w:top w:val="nil"/>
          <w:left w:val="nil"/>
          <w:bottom w:val="nil"/>
          <w:right w:val="nil"/>
          <w:between w:val="nil"/>
        </w:pBdr>
        <w:jc w:val="both"/>
        <w:rPr>
          <w:rFonts w:ascii="Calibri" w:eastAsia="Calibri" w:hAnsi="Calibri" w:cs="Calibri"/>
          <w:sz w:val="22"/>
          <w:szCs w:val="22"/>
        </w:rPr>
      </w:pPr>
    </w:p>
    <w:p w14:paraId="41B3368A" w14:textId="77777777" w:rsidR="00F231C6" w:rsidRDefault="00000000">
      <w:pPr>
        <w:jc w:val="both"/>
        <w:rPr>
          <w:rFonts w:ascii="Calibri" w:eastAsia="Calibri" w:hAnsi="Calibri" w:cs="Calibri"/>
          <w:b/>
          <w:sz w:val="22"/>
          <w:szCs w:val="22"/>
        </w:rPr>
      </w:pPr>
      <w:r>
        <w:rPr>
          <w:rFonts w:ascii="Calibri" w:eastAsia="Calibri" w:hAnsi="Calibri" w:cs="Calibri"/>
          <w:b/>
          <w:sz w:val="22"/>
          <w:szCs w:val="22"/>
        </w:rPr>
        <w:t>2. Position and Reporting Line</w:t>
      </w:r>
    </w:p>
    <w:p w14:paraId="13401591" w14:textId="77777777" w:rsidR="00F231C6" w:rsidRDefault="00F231C6">
      <w:pPr>
        <w:spacing w:line="259" w:lineRule="auto"/>
        <w:rPr>
          <w:rFonts w:ascii="Calibri" w:eastAsia="Calibri" w:hAnsi="Calibri" w:cs="Calibri"/>
          <w:color w:val="222222"/>
          <w:sz w:val="22"/>
          <w:szCs w:val="22"/>
          <w:highlight w:val="white"/>
        </w:rPr>
      </w:pPr>
    </w:p>
    <w:p w14:paraId="1C881AEB" w14:textId="77777777" w:rsidR="00F231C6"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expert will report to the RST Director and maintain close coordination and collaboration with the relevant Deputy Minister, Director-General of the Directorate for </w:t>
      </w:r>
      <w:r>
        <w:rPr>
          <w:rFonts w:ascii="Calibri" w:eastAsia="Calibri" w:hAnsi="Calibri" w:cs="Calibri"/>
          <w:sz w:val="22"/>
          <w:szCs w:val="22"/>
        </w:rPr>
        <w:t>Digitalisation</w:t>
      </w:r>
      <w:r>
        <w:rPr>
          <w:rFonts w:ascii="Calibri" w:eastAsia="Calibri" w:hAnsi="Calibri" w:cs="Calibri"/>
          <w:color w:val="000000"/>
          <w:sz w:val="22"/>
          <w:szCs w:val="22"/>
        </w:rPr>
        <w:t>.</w:t>
      </w:r>
    </w:p>
    <w:p w14:paraId="2C7D688A" w14:textId="77777777" w:rsidR="00F231C6" w:rsidRDefault="00F231C6">
      <w:pPr>
        <w:spacing w:line="259" w:lineRule="auto"/>
        <w:rPr>
          <w:rFonts w:ascii="Calibri" w:eastAsia="Calibri" w:hAnsi="Calibri" w:cs="Calibri"/>
          <w:sz w:val="22"/>
          <w:szCs w:val="22"/>
        </w:rPr>
      </w:pPr>
    </w:p>
    <w:p w14:paraId="62202E54" w14:textId="77777777" w:rsidR="00F231C6" w:rsidRDefault="00F231C6">
      <w:pPr>
        <w:spacing w:line="259" w:lineRule="auto"/>
        <w:ind w:left="360"/>
        <w:rPr>
          <w:rFonts w:ascii="Calibri" w:eastAsia="Calibri" w:hAnsi="Calibri" w:cs="Calibri"/>
          <w:color w:val="222222"/>
          <w:sz w:val="22"/>
          <w:szCs w:val="22"/>
        </w:rPr>
      </w:pPr>
    </w:p>
    <w:p w14:paraId="079E2F33" w14:textId="77777777" w:rsidR="00F231C6" w:rsidRDefault="00000000">
      <w:pPr>
        <w:spacing w:line="259" w:lineRule="auto"/>
        <w:rPr>
          <w:rFonts w:ascii="Arial" w:eastAsia="Arial" w:hAnsi="Arial" w:cs="Arial"/>
        </w:rPr>
      </w:pPr>
      <w:r>
        <w:rPr>
          <w:rFonts w:ascii="Calibri" w:eastAsia="Calibri" w:hAnsi="Calibri" w:cs="Calibri"/>
          <w:b/>
          <w:sz w:val="22"/>
          <w:szCs w:val="22"/>
        </w:rPr>
        <w:t>3</w:t>
      </w:r>
      <w:r>
        <w:rPr>
          <w:rFonts w:ascii="Calibri" w:eastAsia="Calibri" w:hAnsi="Calibri" w:cs="Calibri"/>
          <w:b/>
          <w:color w:val="000000"/>
          <w:sz w:val="22"/>
          <w:szCs w:val="22"/>
        </w:rPr>
        <w:t xml:space="preserve">. Assignment Start Date and Duration </w:t>
      </w:r>
    </w:p>
    <w:p w14:paraId="5A857378" w14:textId="77777777" w:rsidR="00F231C6" w:rsidRDefault="00F231C6">
      <w:pPr>
        <w:pBdr>
          <w:top w:val="nil"/>
          <w:left w:val="nil"/>
          <w:bottom w:val="nil"/>
          <w:right w:val="nil"/>
          <w:between w:val="nil"/>
        </w:pBdr>
        <w:ind w:left="720" w:hanging="360"/>
        <w:jc w:val="both"/>
        <w:rPr>
          <w:rFonts w:ascii="Calibri" w:eastAsia="Calibri" w:hAnsi="Calibri" w:cs="Calibri"/>
          <w:color w:val="000000"/>
          <w:sz w:val="22"/>
          <w:szCs w:val="22"/>
        </w:rPr>
      </w:pPr>
    </w:p>
    <w:p w14:paraId="4CABA86C" w14:textId="77777777" w:rsidR="00F231C6" w:rsidRDefault="00000000">
      <w:pPr>
        <w:jc w:val="both"/>
        <w:rPr>
          <w:rFonts w:ascii="Calibri" w:eastAsia="Calibri" w:hAnsi="Calibri" w:cs="Calibri"/>
          <w:color w:val="000000"/>
          <w:sz w:val="22"/>
          <w:szCs w:val="22"/>
        </w:rPr>
      </w:pPr>
      <w:r>
        <w:rPr>
          <w:rFonts w:ascii="Calibri" w:eastAsia="Calibri" w:hAnsi="Calibri" w:cs="Calibri"/>
          <w:sz w:val="22"/>
          <w:szCs w:val="22"/>
        </w:rPr>
        <w:t>This consultancy appointment is expected to start in March 2025. Duration of the assignment is subject to the availability of project funding, the consultant’s performance, and the specific requirements of the RST. The probation period is two months.</w:t>
      </w:r>
    </w:p>
    <w:p w14:paraId="70690B4D" w14:textId="77777777" w:rsidR="00F231C6" w:rsidRDefault="00F231C6">
      <w:pPr>
        <w:pBdr>
          <w:top w:val="nil"/>
          <w:left w:val="nil"/>
          <w:bottom w:val="nil"/>
          <w:right w:val="nil"/>
          <w:between w:val="nil"/>
        </w:pBdr>
        <w:ind w:left="720" w:hanging="360"/>
        <w:jc w:val="both"/>
        <w:rPr>
          <w:rFonts w:ascii="Calibri" w:eastAsia="Calibri" w:hAnsi="Calibri" w:cs="Calibri"/>
          <w:color w:val="000000"/>
          <w:sz w:val="22"/>
          <w:szCs w:val="22"/>
        </w:rPr>
      </w:pPr>
    </w:p>
    <w:p w14:paraId="08E38189" w14:textId="77777777" w:rsidR="00F231C6"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4</w:t>
      </w:r>
      <w:r>
        <w:rPr>
          <w:rFonts w:ascii="Calibri" w:eastAsia="Calibri" w:hAnsi="Calibri" w:cs="Calibri"/>
          <w:b/>
          <w:color w:val="000000"/>
          <w:sz w:val="22"/>
          <w:szCs w:val="22"/>
        </w:rPr>
        <w:t>. Main Duties</w:t>
      </w:r>
      <w:r>
        <w:rPr>
          <w:rFonts w:ascii="Calibri" w:eastAsia="Calibri" w:hAnsi="Calibri" w:cs="Calibri"/>
          <w:b/>
          <w:sz w:val="22"/>
          <w:szCs w:val="22"/>
        </w:rPr>
        <w:t xml:space="preserve">, </w:t>
      </w:r>
      <w:r>
        <w:rPr>
          <w:rFonts w:ascii="Calibri" w:eastAsia="Calibri" w:hAnsi="Calibri" w:cs="Calibri"/>
          <w:b/>
          <w:color w:val="000000"/>
          <w:sz w:val="22"/>
          <w:szCs w:val="22"/>
        </w:rPr>
        <w:t xml:space="preserve">Responsibilities </w:t>
      </w:r>
      <w:r>
        <w:rPr>
          <w:rFonts w:ascii="Calibri" w:eastAsia="Calibri" w:hAnsi="Calibri" w:cs="Calibri"/>
          <w:b/>
          <w:sz w:val="22"/>
          <w:szCs w:val="22"/>
        </w:rPr>
        <w:t>and Deliverables</w:t>
      </w:r>
    </w:p>
    <w:p w14:paraId="1AED224A" w14:textId="77777777" w:rsidR="00F231C6" w:rsidRDefault="00F231C6">
      <w:pPr>
        <w:pBdr>
          <w:top w:val="nil"/>
          <w:left w:val="nil"/>
          <w:bottom w:val="nil"/>
          <w:right w:val="nil"/>
          <w:between w:val="nil"/>
        </w:pBdr>
        <w:jc w:val="both"/>
        <w:rPr>
          <w:rFonts w:ascii="Calibri" w:eastAsia="Calibri" w:hAnsi="Calibri" w:cs="Calibri"/>
          <w:color w:val="000000"/>
          <w:sz w:val="22"/>
          <w:szCs w:val="22"/>
        </w:rPr>
      </w:pPr>
    </w:p>
    <w:p w14:paraId="1649293B" w14:textId="77777777" w:rsidR="00F231C6"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 xml:space="preserve">The </w:t>
      </w:r>
      <w:r>
        <w:rPr>
          <w:rFonts w:ascii="Calibri" w:eastAsia="Calibri" w:hAnsi="Calibri" w:cs="Calibri"/>
          <w:sz w:val="22"/>
          <w:szCs w:val="22"/>
        </w:rPr>
        <w:t>Expert</w:t>
      </w:r>
      <w:r>
        <w:rPr>
          <w:rFonts w:ascii="Calibri" w:eastAsia="Calibri" w:hAnsi="Calibri" w:cs="Calibri"/>
          <w:color w:val="000000"/>
          <w:sz w:val="22"/>
          <w:szCs w:val="22"/>
        </w:rPr>
        <w:t xml:space="preserve"> will support the Ministry in the following priorities:</w:t>
      </w:r>
    </w:p>
    <w:p w14:paraId="0FBF86B1" w14:textId="77777777" w:rsidR="00F231C6" w:rsidRDefault="00F231C6">
      <w:pPr>
        <w:pBdr>
          <w:top w:val="nil"/>
          <w:left w:val="nil"/>
          <w:bottom w:val="nil"/>
          <w:right w:val="nil"/>
          <w:between w:val="nil"/>
        </w:pBdr>
        <w:jc w:val="both"/>
        <w:rPr>
          <w:rFonts w:ascii="Calibri" w:eastAsia="Calibri" w:hAnsi="Calibri" w:cs="Calibri"/>
          <w:sz w:val="22"/>
          <w:szCs w:val="22"/>
        </w:rPr>
      </w:pPr>
    </w:p>
    <w:p w14:paraId="419EE800" w14:textId="77777777" w:rsidR="00F231C6" w:rsidRDefault="00000000">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European integration tasks in the area of digital transformation of education and science:</w:t>
      </w:r>
    </w:p>
    <w:p w14:paraId="08372E95" w14:textId="77777777" w:rsidR="00F231C6" w:rsidRDefault="00000000">
      <w:pPr>
        <w:numPr>
          <w:ilvl w:val="0"/>
          <w:numId w:val="1"/>
        </w:numPr>
        <w:spacing w:line="256" w:lineRule="auto"/>
        <w:jc w:val="both"/>
        <w:rPr>
          <w:sz w:val="22"/>
          <w:szCs w:val="22"/>
        </w:rPr>
      </w:pPr>
      <w:r>
        <w:rPr>
          <w:rFonts w:ascii="Calibri" w:eastAsia="Calibri" w:hAnsi="Calibri" w:cs="Calibri"/>
          <w:sz w:val="22"/>
          <w:szCs w:val="22"/>
        </w:rPr>
        <w:t xml:space="preserve">Ensuring work on the official screening of compliance of Ukrainian legislation with EU </w:t>
      </w:r>
      <w:r>
        <w:rPr>
          <w:rFonts w:ascii="Calibri" w:eastAsia="Calibri" w:hAnsi="Calibri" w:cs="Calibri"/>
          <w:i/>
          <w:sz w:val="22"/>
          <w:szCs w:val="22"/>
        </w:rPr>
        <w:t>acquis</w:t>
      </w:r>
      <w:r>
        <w:rPr>
          <w:rFonts w:ascii="Calibri" w:eastAsia="Calibri" w:hAnsi="Calibri" w:cs="Calibri"/>
          <w:sz w:val="22"/>
          <w:szCs w:val="22"/>
        </w:rPr>
        <w:t xml:space="preserve"> under negotiation chapters 25 “Research and science”, 26 "Education and culture," 10 "Digital transformation and media," 30 "External communications";</w:t>
      </w:r>
    </w:p>
    <w:p w14:paraId="4802B0CB" w14:textId="77777777" w:rsidR="00F231C6" w:rsidRDefault="00000000">
      <w:pPr>
        <w:numPr>
          <w:ilvl w:val="0"/>
          <w:numId w:val="1"/>
        </w:numPr>
        <w:jc w:val="both"/>
        <w:rPr>
          <w:sz w:val="22"/>
          <w:szCs w:val="22"/>
        </w:rPr>
      </w:pPr>
      <w:r>
        <w:rPr>
          <w:rFonts w:ascii="Calibri" w:eastAsia="Calibri" w:hAnsi="Calibri" w:cs="Calibri"/>
          <w:sz w:val="22"/>
          <w:szCs w:val="22"/>
        </w:rPr>
        <w:lastRenderedPageBreak/>
        <w:t>Preparation of tables of conformity based on discussions during the screening of EU acquis under the above-mentioned negotiating chapters;</w:t>
      </w:r>
    </w:p>
    <w:p w14:paraId="2A452B19" w14:textId="77777777" w:rsidR="00F231C6" w:rsidRDefault="00000000">
      <w:pPr>
        <w:numPr>
          <w:ilvl w:val="0"/>
          <w:numId w:val="1"/>
        </w:numPr>
        <w:jc w:val="both"/>
        <w:rPr>
          <w:sz w:val="22"/>
          <w:szCs w:val="22"/>
        </w:rPr>
      </w:pPr>
      <w:r>
        <w:rPr>
          <w:rFonts w:ascii="Calibri" w:eastAsia="Calibri" w:hAnsi="Calibri" w:cs="Calibri"/>
          <w:sz w:val="22"/>
          <w:szCs w:val="22"/>
        </w:rPr>
        <w:t>Preparation of materials for bilateral meetings between Ukraine and the European Commission;</w:t>
      </w:r>
    </w:p>
    <w:p w14:paraId="3A931F45" w14:textId="77777777" w:rsidR="00F231C6" w:rsidRDefault="00000000">
      <w:pPr>
        <w:numPr>
          <w:ilvl w:val="0"/>
          <w:numId w:val="1"/>
        </w:numPr>
        <w:jc w:val="both"/>
        <w:rPr>
          <w:sz w:val="22"/>
          <w:szCs w:val="22"/>
        </w:rPr>
      </w:pPr>
      <w:r>
        <w:rPr>
          <w:rFonts w:ascii="Calibri" w:eastAsia="Calibri" w:hAnsi="Calibri" w:cs="Calibri"/>
          <w:sz w:val="22"/>
          <w:szCs w:val="22"/>
        </w:rPr>
        <w:t>Filling in the Questionnaire on the EU acquis for Ukraine (with regard to its alignment with EU </w:t>
      </w:r>
      <w:r>
        <w:rPr>
          <w:rFonts w:ascii="Calibri" w:eastAsia="Calibri" w:hAnsi="Calibri" w:cs="Calibri"/>
          <w:i/>
          <w:sz w:val="22"/>
          <w:szCs w:val="22"/>
        </w:rPr>
        <w:t xml:space="preserve">acquis) </w:t>
      </w:r>
      <w:r>
        <w:rPr>
          <w:rFonts w:ascii="Calibri" w:eastAsia="Calibri" w:hAnsi="Calibri" w:cs="Calibri"/>
          <w:sz w:val="22"/>
          <w:szCs w:val="22"/>
        </w:rPr>
        <w:t>in terms of issues related to the digital transformation of education and science;</w:t>
      </w:r>
    </w:p>
    <w:p w14:paraId="392374F5" w14:textId="77777777" w:rsidR="00F231C6" w:rsidRDefault="00000000">
      <w:pPr>
        <w:numPr>
          <w:ilvl w:val="0"/>
          <w:numId w:val="1"/>
        </w:numPr>
        <w:jc w:val="both"/>
        <w:rPr>
          <w:sz w:val="22"/>
          <w:szCs w:val="22"/>
        </w:rPr>
      </w:pPr>
      <w:r>
        <w:rPr>
          <w:rFonts w:ascii="Calibri" w:eastAsia="Calibri" w:hAnsi="Calibri" w:cs="Calibri"/>
          <w:sz w:val="22"/>
          <w:szCs w:val="22"/>
        </w:rPr>
        <w:t>Periodic updates on the status of implementation of the European Commission's recommendations presented in the Ukraine Progress Report under the annual EU Enlargement Package;</w:t>
      </w:r>
    </w:p>
    <w:p w14:paraId="204A9B25" w14:textId="77777777" w:rsidR="00F231C6" w:rsidRDefault="00000000">
      <w:pPr>
        <w:numPr>
          <w:ilvl w:val="0"/>
          <w:numId w:val="1"/>
        </w:numPr>
        <w:jc w:val="both"/>
        <w:rPr>
          <w:sz w:val="22"/>
          <w:szCs w:val="22"/>
        </w:rPr>
      </w:pPr>
      <w:r>
        <w:rPr>
          <w:rFonts w:ascii="Calibri" w:eastAsia="Calibri" w:hAnsi="Calibri" w:cs="Calibri"/>
          <w:sz w:val="22"/>
          <w:szCs w:val="22"/>
        </w:rPr>
        <w:t>Ensuring the alignment of statistical data in the field of education and science with European standards, including analysing the reporting forms on education and science in terms of the need to supplement them with indicators provided for by EU standards (task from the Action Plan for the implementation of the recommendations of the European Commission presented in Ukraine's Progress Report under the EU's 2023 Enlargement Package);</w:t>
      </w:r>
    </w:p>
    <w:p w14:paraId="692EA07F" w14:textId="77777777" w:rsidR="00F231C6" w:rsidRDefault="00000000">
      <w:pPr>
        <w:numPr>
          <w:ilvl w:val="0"/>
          <w:numId w:val="1"/>
        </w:numPr>
        <w:spacing w:after="240"/>
        <w:jc w:val="both"/>
        <w:rPr>
          <w:rFonts w:ascii="Calibri" w:eastAsia="Calibri" w:hAnsi="Calibri" w:cs="Calibri"/>
          <w:sz w:val="22"/>
          <w:szCs w:val="22"/>
        </w:rPr>
      </w:pPr>
      <w:r>
        <w:rPr>
          <w:rFonts w:ascii="Calibri" w:eastAsia="Calibri" w:hAnsi="Calibri" w:cs="Calibri"/>
          <w:sz w:val="22"/>
          <w:szCs w:val="22"/>
        </w:rPr>
        <w:t>​​Study of the EU Digital Education Action Plan for the possibility of adapting its norms to the digital transformation strategy of Ukraine's education and science.</w:t>
      </w:r>
    </w:p>
    <w:p w14:paraId="3CD021F8" w14:textId="77777777" w:rsidR="00F231C6" w:rsidRDefault="00000000">
      <w:pPr>
        <w:spacing w:after="160" w:line="256" w:lineRule="auto"/>
        <w:rPr>
          <w:rFonts w:ascii="Calibri" w:eastAsia="Calibri" w:hAnsi="Calibri" w:cs="Calibri"/>
          <w:b/>
          <w:sz w:val="22"/>
          <w:szCs w:val="22"/>
        </w:rPr>
      </w:pPr>
      <w:r>
        <w:rPr>
          <w:rFonts w:ascii="Calibri" w:eastAsia="Calibri" w:hAnsi="Calibri" w:cs="Calibri"/>
          <w:b/>
          <w:sz w:val="22"/>
          <w:szCs w:val="22"/>
        </w:rPr>
        <w:t>Managing the functioning and development of the digital learning centres (DLCs)</w:t>
      </w:r>
    </w:p>
    <w:p w14:paraId="17B40E46" w14:textId="77777777" w:rsidR="00F231C6" w:rsidRDefault="00000000">
      <w:pPr>
        <w:numPr>
          <w:ilvl w:val="0"/>
          <w:numId w:val="1"/>
        </w:numPr>
        <w:spacing w:before="240"/>
        <w:jc w:val="both"/>
        <w:rPr>
          <w:sz w:val="22"/>
          <w:szCs w:val="22"/>
        </w:rPr>
      </w:pPr>
      <w:r>
        <w:rPr>
          <w:rFonts w:ascii="Calibri" w:eastAsia="Calibri" w:hAnsi="Calibri" w:cs="Calibri"/>
          <w:sz w:val="22"/>
          <w:szCs w:val="22"/>
        </w:rPr>
        <w:t>Conducting an audit of the current state of the opened DLCs;</w:t>
      </w:r>
    </w:p>
    <w:p w14:paraId="71944B79" w14:textId="77777777" w:rsidR="00F231C6" w:rsidRDefault="00000000">
      <w:pPr>
        <w:numPr>
          <w:ilvl w:val="0"/>
          <w:numId w:val="1"/>
        </w:numPr>
        <w:jc w:val="both"/>
        <w:rPr>
          <w:sz w:val="22"/>
          <w:szCs w:val="22"/>
        </w:rPr>
      </w:pPr>
      <w:r>
        <w:rPr>
          <w:rFonts w:ascii="Calibri" w:eastAsia="Calibri" w:hAnsi="Calibri" w:cs="Calibri"/>
          <w:sz w:val="22"/>
          <w:szCs w:val="22"/>
        </w:rPr>
        <w:t>Assessing the infrastructure, human resources, technical base, and functionality of the established DLCs;</w:t>
      </w:r>
    </w:p>
    <w:p w14:paraId="61205C10" w14:textId="77777777" w:rsidR="00F231C6" w:rsidRDefault="00000000">
      <w:pPr>
        <w:numPr>
          <w:ilvl w:val="0"/>
          <w:numId w:val="1"/>
        </w:numPr>
        <w:jc w:val="both"/>
        <w:rPr>
          <w:sz w:val="22"/>
          <w:szCs w:val="22"/>
        </w:rPr>
      </w:pPr>
      <w:r>
        <w:rPr>
          <w:rFonts w:ascii="Calibri" w:eastAsia="Calibri" w:hAnsi="Calibri" w:cs="Calibri"/>
          <w:sz w:val="22"/>
          <w:szCs w:val="22"/>
        </w:rPr>
        <w:t>Analysing data collected from donor surveys regarding the operation and challenges of DLCs;</w:t>
      </w:r>
    </w:p>
    <w:p w14:paraId="3178BC70" w14:textId="77777777" w:rsidR="00F231C6" w:rsidRDefault="00000000">
      <w:pPr>
        <w:numPr>
          <w:ilvl w:val="0"/>
          <w:numId w:val="1"/>
        </w:numPr>
        <w:jc w:val="both"/>
        <w:rPr>
          <w:sz w:val="22"/>
          <w:szCs w:val="22"/>
        </w:rPr>
      </w:pPr>
      <w:r>
        <w:rPr>
          <w:rFonts w:ascii="Calibri" w:eastAsia="Calibri" w:hAnsi="Calibri" w:cs="Calibri"/>
          <w:sz w:val="22"/>
          <w:szCs w:val="22"/>
        </w:rPr>
        <w:t>Analysing operational issues and challenges;</w:t>
      </w:r>
    </w:p>
    <w:p w14:paraId="7FE1DA5E" w14:textId="77777777" w:rsidR="00F231C6" w:rsidRDefault="00000000">
      <w:pPr>
        <w:numPr>
          <w:ilvl w:val="0"/>
          <w:numId w:val="1"/>
        </w:numPr>
        <w:jc w:val="both"/>
        <w:rPr>
          <w:sz w:val="22"/>
          <w:szCs w:val="22"/>
        </w:rPr>
      </w:pPr>
      <w:r>
        <w:rPr>
          <w:rFonts w:ascii="Calibri" w:eastAsia="Calibri" w:hAnsi="Calibri" w:cs="Calibri"/>
          <w:sz w:val="22"/>
          <w:szCs w:val="22"/>
        </w:rPr>
        <w:t>Identifying reasons for the non-functionality or low efficiency of certain DLCs (if such exist);</w:t>
      </w:r>
      <w:r>
        <w:rPr>
          <w:sz w:val="22"/>
          <w:szCs w:val="22"/>
        </w:rPr>
        <w:t xml:space="preserve"> </w:t>
      </w:r>
    </w:p>
    <w:p w14:paraId="16834582" w14:textId="77777777" w:rsidR="00F231C6" w:rsidRDefault="00000000">
      <w:pPr>
        <w:numPr>
          <w:ilvl w:val="0"/>
          <w:numId w:val="1"/>
        </w:numPr>
        <w:jc w:val="both"/>
        <w:rPr>
          <w:sz w:val="22"/>
          <w:szCs w:val="22"/>
        </w:rPr>
      </w:pPr>
      <w:r>
        <w:rPr>
          <w:rFonts w:ascii="Calibri" w:eastAsia="Calibri" w:hAnsi="Calibri" w:cs="Calibri"/>
          <w:sz w:val="22"/>
          <w:szCs w:val="22"/>
        </w:rPr>
        <w:t>Developing guidelines for transferring DLCs to local communities, considering financial, organisational, administrative, and legal aspects;</w:t>
      </w:r>
    </w:p>
    <w:p w14:paraId="450E3B5B" w14:textId="77777777" w:rsidR="00F231C6" w:rsidRDefault="00000000">
      <w:pPr>
        <w:numPr>
          <w:ilvl w:val="0"/>
          <w:numId w:val="1"/>
        </w:numPr>
        <w:spacing w:line="256" w:lineRule="auto"/>
        <w:jc w:val="both"/>
        <w:rPr>
          <w:rFonts w:ascii="Calibri" w:eastAsia="Calibri" w:hAnsi="Calibri" w:cs="Calibri"/>
          <w:sz w:val="22"/>
          <w:szCs w:val="22"/>
        </w:rPr>
      </w:pPr>
      <w:r>
        <w:rPr>
          <w:rFonts w:ascii="Calibri" w:eastAsia="Calibri" w:hAnsi="Calibri" w:cs="Calibri"/>
          <w:sz w:val="22"/>
          <w:szCs w:val="22"/>
        </w:rPr>
        <w:t>Studying the issue of expediency of regulatory regulation of DLC functioning;</w:t>
      </w:r>
    </w:p>
    <w:p w14:paraId="4E07F590" w14:textId="77777777" w:rsidR="00F231C6" w:rsidRDefault="00000000">
      <w:pPr>
        <w:numPr>
          <w:ilvl w:val="0"/>
          <w:numId w:val="1"/>
        </w:numPr>
        <w:jc w:val="both"/>
        <w:rPr>
          <w:sz w:val="22"/>
          <w:szCs w:val="22"/>
        </w:rPr>
      </w:pPr>
      <w:r>
        <w:rPr>
          <w:rFonts w:ascii="Calibri" w:eastAsia="Calibri" w:hAnsi="Calibri" w:cs="Calibri"/>
          <w:sz w:val="22"/>
          <w:szCs w:val="22"/>
        </w:rPr>
        <w:t>Developing recommendations for reformatting the DLCs' work in territories where access to in-person education has been restored;</w:t>
      </w:r>
    </w:p>
    <w:p w14:paraId="2264778C" w14:textId="77777777" w:rsidR="00F231C6" w:rsidRDefault="00000000">
      <w:pPr>
        <w:numPr>
          <w:ilvl w:val="0"/>
          <w:numId w:val="1"/>
        </w:numPr>
        <w:jc w:val="both"/>
        <w:rPr>
          <w:sz w:val="22"/>
          <w:szCs w:val="22"/>
        </w:rPr>
      </w:pPr>
      <w:r>
        <w:rPr>
          <w:rFonts w:ascii="Calibri" w:eastAsia="Calibri" w:hAnsi="Calibri" w:cs="Calibri"/>
          <w:sz w:val="22"/>
          <w:szCs w:val="22"/>
        </w:rPr>
        <w:t>Defining indicators for monitoring DLC activities post their transfer to local communities;</w:t>
      </w:r>
    </w:p>
    <w:p w14:paraId="034AEE5C" w14:textId="77777777" w:rsidR="00F231C6" w:rsidRDefault="00000000">
      <w:pPr>
        <w:numPr>
          <w:ilvl w:val="0"/>
          <w:numId w:val="1"/>
        </w:numPr>
        <w:jc w:val="both"/>
        <w:rPr>
          <w:sz w:val="22"/>
          <w:szCs w:val="22"/>
        </w:rPr>
      </w:pPr>
      <w:r>
        <w:rPr>
          <w:rFonts w:ascii="Calibri" w:eastAsia="Calibri" w:hAnsi="Calibri" w:cs="Calibri"/>
          <w:sz w:val="22"/>
          <w:szCs w:val="22"/>
        </w:rPr>
        <w:t>Creating tools for evaluating the efficiency and effectiveness of DLC operation;</w:t>
      </w:r>
    </w:p>
    <w:p w14:paraId="6CA6F13F" w14:textId="77777777" w:rsidR="00F231C6" w:rsidRDefault="00000000">
      <w:pPr>
        <w:numPr>
          <w:ilvl w:val="0"/>
          <w:numId w:val="1"/>
        </w:numPr>
        <w:jc w:val="both"/>
        <w:rPr>
          <w:sz w:val="22"/>
          <w:szCs w:val="22"/>
        </w:rPr>
      </w:pPr>
      <w:r>
        <w:rPr>
          <w:rFonts w:ascii="Calibri" w:eastAsia="Calibri" w:hAnsi="Calibri" w:cs="Calibri"/>
          <w:sz w:val="22"/>
          <w:szCs w:val="22"/>
        </w:rPr>
        <w:t>Proposing strategies to ensure financial sustainability through grants, public-private partnerships, and local budgets;</w:t>
      </w:r>
    </w:p>
    <w:p w14:paraId="5B81F613" w14:textId="77777777" w:rsidR="00F231C6" w:rsidRDefault="00000000">
      <w:pPr>
        <w:numPr>
          <w:ilvl w:val="0"/>
          <w:numId w:val="1"/>
        </w:numPr>
        <w:jc w:val="both"/>
        <w:rPr>
          <w:sz w:val="22"/>
          <w:szCs w:val="22"/>
        </w:rPr>
      </w:pPr>
      <w:r>
        <w:rPr>
          <w:rFonts w:ascii="Calibri" w:eastAsia="Calibri" w:hAnsi="Calibri" w:cs="Calibri"/>
          <w:sz w:val="22"/>
          <w:szCs w:val="22"/>
        </w:rPr>
        <w:t>Suggesting mechanisms to reduce reliance on external funding;</w:t>
      </w:r>
    </w:p>
    <w:p w14:paraId="23CA0EF2" w14:textId="77777777" w:rsidR="00F231C6" w:rsidRDefault="00000000">
      <w:pPr>
        <w:numPr>
          <w:ilvl w:val="0"/>
          <w:numId w:val="1"/>
        </w:numPr>
        <w:jc w:val="both"/>
        <w:rPr>
          <w:sz w:val="22"/>
          <w:szCs w:val="22"/>
        </w:rPr>
      </w:pPr>
      <w:r>
        <w:rPr>
          <w:rFonts w:ascii="Calibri" w:eastAsia="Calibri" w:hAnsi="Calibri" w:cs="Calibri"/>
          <w:sz w:val="22"/>
          <w:szCs w:val="22"/>
        </w:rPr>
        <w:t>Studying international best practices in creating and maintaining digital learning spaces;</w:t>
      </w:r>
    </w:p>
    <w:p w14:paraId="19AC1DCD" w14:textId="77777777" w:rsidR="00F231C6" w:rsidRDefault="00000000">
      <w:pPr>
        <w:numPr>
          <w:ilvl w:val="0"/>
          <w:numId w:val="1"/>
        </w:numPr>
        <w:spacing w:after="160" w:line="256" w:lineRule="auto"/>
        <w:rPr>
          <w:sz w:val="22"/>
          <w:szCs w:val="22"/>
        </w:rPr>
      </w:pPr>
      <w:r>
        <w:rPr>
          <w:rFonts w:ascii="Calibri" w:eastAsia="Calibri" w:hAnsi="Calibri" w:cs="Calibri"/>
          <w:sz w:val="22"/>
          <w:szCs w:val="22"/>
        </w:rPr>
        <w:t xml:space="preserve">Providing current information to a dedicated website: </w:t>
      </w:r>
      <w:hyperlink r:id="rId9">
        <w:r>
          <w:rPr>
            <w:rFonts w:ascii="Calibri" w:eastAsia="Calibri" w:hAnsi="Calibri" w:cs="Calibri"/>
            <w:color w:val="1155CC"/>
            <w:sz w:val="22"/>
            <w:szCs w:val="22"/>
            <w:u w:val="single"/>
          </w:rPr>
          <w:t>https://www.dlc.org.ua/</w:t>
        </w:r>
      </w:hyperlink>
      <w:r>
        <w:rPr>
          <w:rFonts w:ascii="Calibri" w:eastAsia="Calibri" w:hAnsi="Calibri" w:cs="Calibri"/>
          <w:sz w:val="22"/>
          <w:szCs w:val="22"/>
        </w:rPr>
        <w:t>.</w:t>
      </w:r>
    </w:p>
    <w:p w14:paraId="7B000AAD" w14:textId="77777777" w:rsidR="00F231C6" w:rsidRDefault="00F231C6">
      <w:pPr>
        <w:pBdr>
          <w:top w:val="nil"/>
          <w:left w:val="nil"/>
          <w:bottom w:val="nil"/>
          <w:right w:val="nil"/>
          <w:between w:val="nil"/>
        </w:pBdr>
        <w:rPr>
          <w:rFonts w:ascii="Noto Sans" w:eastAsia="Noto Sans" w:hAnsi="Noto Sans" w:cs="Noto Sans"/>
          <w:color w:val="000000"/>
          <w:sz w:val="22"/>
          <w:szCs w:val="22"/>
        </w:rPr>
      </w:pPr>
    </w:p>
    <w:p w14:paraId="4BA67A72" w14:textId="77777777" w:rsidR="00F231C6"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5. Qualifications, Skills and Experience</w:t>
      </w:r>
    </w:p>
    <w:p w14:paraId="4CB43AF5" w14:textId="77777777" w:rsidR="00F231C6" w:rsidRDefault="00F231C6">
      <w:pPr>
        <w:pBdr>
          <w:top w:val="nil"/>
          <w:left w:val="nil"/>
          <w:bottom w:val="nil"/>
          <w:right w:val="nil"/>
          <w:between w:val="nil"/>
        </w:pBdr>
        <w:ind w:left="1080" w:hanging="360"/>
        <w:jc w:val="both"/>
        <w:rPr>
          <w:rFonts w:ascii="Calibri" w:eastAsia="Calibri" w:hAnsi="Calibri" w:cs="Calibri"/>
          <w:color w:val="000000"/>
          <w:sz w:val="22"/>
          <w:szCs w:val="22"/>
        </w:rPr>
      </w:pPr>
    </w:p>
    <w:p w14:paraId="3946B726" w14:textId="77777777" w:rsidR="00F231C6"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sz w:val="22"/>
          <w:szCs w:val="22"/>
        </w:rPr>
        <w:t xml:space="preserve">5.1 Qualifications and skills: </w:t>
      </w:r>
    </w:p>
    <w:p w14:paraId="68ED0717"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000000"/>
          <w:sz w:val="22"/>
          <w:szCs w:val="22"/>
        </w:rPr>
      </w:pPr>
      <w:r>
        <w:rPr>
          <w:rFonts w:ascii="Calibri" w:eastAsia="Calibri" w:hAnsi="Calibri" w:cs="Calibri"/>
          <w:color w:val="000000"/>
          <w:sz w:val="22"/>
          <w:szCs w:val="22"/>
        </w:rPr>
        <w:t>Master’s degree;</w:t>
      </w:r>
    </w:p>
    <w:p w14:paraId="6835F8D6"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r>
        <w:rPr>
          <w:rFonts w:ascii="Calibri" w:eastAsia="Calibri" w:hAnsi="Calibri" w:cs="Calibri"/>
          <w:sz w:val="22"/>
          <w:szCs w:val="22"/>
        </w:rPr>
        <w:t>Fluency in Ukrainian (both written and spoken);</w:t>
      </w:r>
    </w:p>
    <w:p w14:paraId="799810C4"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r>
        <w:rPr>
          <w:rFonts w:ascii="Calibri" w:eastAsia="Calibri" w:hAnsi="Calibri" w:cs="Calibri"/>
          <w:sz w:val="22"/>
          <w:szCs w:val="22"/>
        </w:rPr>
        <w:t>Advanced proficiency in English (required for working with EU legislation, preparing materials, and communicating with international partners);</w:t>
      </w:r>
    </w:p>
    <w:p w14:paraId="59C8260A"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000000"/>
          <w:sz w:val="22"/>
          <w:szCs w:val="22"/>
        </w:rPr>
      </w:pPr>
      <w:r>
        <w:rPr>
          <w:rFonts w:ascii="Calibri" w:eastAsia="Calibri" w:hAnsi="Calibri" w:cs="Calibri"/>
          <w:color w:val="000000"/>
          <w:sz w:val="22"/>
          <w:szCs w:val="22"/>
        </w:rPr>
        <w:t>Impeccable ethical standards;</w:t>
      </w:r>
    </w:p>
    <w:p w14:paraId="6E682AC4"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000000"/>
          <w:sz w:val="22"/>
          <w:szCs w:val="22"/>
        </w:rPr>
      </w:pPr>
      <w:r>
        <w:rPr>
          <w:rFonts w:ascii="Calibri" w:eastAsia="Calibri" w:hAnsi="Calibri" w:cs="Calibri"/>
          <w:color w:val="000000"/>
          <w:sz w:val="22"/>
          <w:szCs w:val="22"/>
        </w:rPr>
        <w:t>Excellent communication and interpersonal skills</w:t>
      </w:r>
      <w:r>
        <w:rPr>
          <w:rFonts w:ascii="Calibri" w:eastAsia="Calibri" w:hAnsi="Calibri" w:cs="Calibri"/>
          <w:sz w:val="22"/>
          <w:szCs w:val="22"/>
        </w:rPr>
        <w:t>. Ability</w:t>
      </w:r>
      <w:r>
        <w:rPr>
          <w:rFonts w:ascii="Calibri" w:eastAsia="Calibri" w:hAnsi="Calibri" w:cs="Calibri"/>
          <w:color w:val="000000"/>
          <w:sz w:val="22"/>
          <w:szCs w:val="22"/>
        </w:rPr>
        <w:t xml:space="preserve"> to interact with government institutions, international partners, and local communities;</w:t>
      </w:r>
    </w:p>
    <w:p w14:paraId="2D3D98F1"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000000"/>
          <w:sz w:val="22"/>
          <w:szCs w:val="22"/>
        </w:rPr>
      </w:pPr>
      <w:r>
        <w:rPr>
          <w:rFonts w:ascii="Calibri" w:eastAsia="Calibri" w:hAnsi="Calibri" w:cs="Calibri"/>
          <w:color w:val="000000"/>
          <w:sz w:val="22"/>
          <w:szCs w:val="22"/>
        </w:rPr>
        <w:t>Strong analytical and presentation skills, organisational management skills;</w:t>
      </w:r>
    </w:p>
    <w:p w14:paraId="2F211338"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Motivated team player with </w:t>
      </w:r>
      <w:r>
        <w:rPr>
          <w:rFonts w:ascii="Calibri" w:eastAsia="Calibri" w:hAnsi="Calibri" w:cs="Calibri"/>
          <w:sz w:val="22"/>
          <w:szCs w:val="22"/>
        </w:rPr>
        <w:t xml:space="preserve">the </w:t>
      </w:r>
      <w:r>
        <w:rPr>
          <w:rFonts w:ascii="Calibri" w:eastAsia="Calibri" w:hAnsi="Calibri" w:cs="Calibri"/>
          <w:color w:val="000000"/>
          <w:sz w:val="22"/>
          <w:szCs w:val="22"/>
        </w:rPr>
        <w:t>ability to work independently;</w:t>
      </w:r>
    </w:p>
    <w:p w14:paraId="22EB11A1"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r>
        <w:rPr>
          <w:rFonts w:ascii="Calibri" w:eastAsia="Calibri" w:hAnsi="Calibri" w:cs="Calibri"/>
          <w:sz w:val="22"/>
          <w:szCs w:val="22"/>
        </w:rPr>
        <w:t>Ability to work in a multitasking environment and effectively prioritise tasks;</w:t>
      </w:r>
    </w:p>
    <w:p w14:paraId="2F100F80"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r>
        <w:rPr>
          <w:rFonts w:ascii="Calibri" w:eastAsia="Calibri" w:hAnsi="Calibri" w:cs="Calibri"/>
          <w:sz w:val="22"/>
          <w:szCs w:val="22"/>
        </w:rPr>
        <w:t>Responsibility, initiative, and the ability to make independent decisions within the scope of duties;</w:t>
      </w:r>
    </w:p>
    <w:p w14:paraId="162F7C51" w14:textId="77777777" w:rsidR="00F231C6"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000000"/>
          <w:sz w:val="22"/>
          <w:szCs w:val="22"/>
        </w:rPr>
      </w:pPr>
      <w:r>
        <w:rPr>
          <w:rFonts w:ascii="Calibri" w:eastAsia="Calibri" w:hAnsi="Calibri" w:cs="Calibri"/>
          <w:sz w:val="22"/>
          <w:szCs w:val="22"/>
        </w:rPr>
        <w:lastRenderedPageBreak/>
        <w:t>A general</w:t>
      </w:r>
      <w:r>
        <w:rPr>
          <w:rFonts w:ascii="Calibri" w:eastAsia="Calibri" w:hAnsi="Calibri" w:cs="Calibri"/>
          <w:color w:val="000000"/>
          <w:sz w:val="22"/>
          <w:szCs w:val="22"/>
        </w:rPr>
        <w:t xml:space="preserve"> understanding of </w:t>
      </w:r>
      <w:r>
        <w:rPr>
          <w:rFonts w:ascii="Calibri" w:eastAsia="Calibri" w:hAnsi="Calibri" w:cs="Calibri"/>
          <w:sz w:val="22"/>
          <w:szCs w:val="22"/>
        </w:rPr>
        <w:t>Ukrainian and European legislation in areas related to education / digital technologies / EU integration</w:t>
      </w:r>
      <w:r>
        <w:rPr>
          <w:rFonts w:ascii="Calibri" w:eastAsia="Calibri" w:hAnsi="Calibri" w:cs="Calibri"/>
          <w:color w:val="000000"/>
          <w:sz w:val="22"/>
          <w:szCs w:val="22"/>
        </w:rPr>
        <w:t xml:space="preserve"> would be an advantage.</w:t>
      </w:r>
    </w:p>
    <w:p w14:paraId="36C0E899" w14:textId="77777777" w:rsidR="00F231C6" w:rsidRDefault="00F231C6">
      <w:pPr>
        <w:pBdr>
          <w:top w:val="nil"/>
          <w:left w:val="nil"/>
          <w:bottom w:val="nil"/>
          <w:right w:val="nil"/>
          <w:between w:val="nil"/>
        </w:pBdr>
        <w:ind w:left="1080" w:hanging="360"/>
        <w:jc w:val="both"/>
        <w:rPr>
          <w:rFonts w:ascii="Calibri" w:eastAsia="Calibri" w:hAnsi="Calibri" w:cs="Calibri"/>
          <w:color w:val="000000"/>
          <w:sz w:val="22"/>
          <w:szCs w:val="22"/>
        </w:rPr>
      </w:pPr>
    </w:p>
    <w:p w14:paraId="21A7FFC3" w14:textId="77777777" w:rsidR="00F231C6"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color w:val="000000"/>
          <w:sz w:val="22"/>
          <w:szCs w:val="22"/>
        </w:rPr>
        <w:t xml:space="preserve">5.2 </w:t>
      </w:r>
      <w:r>
        <w:rPr>
          <w:rFonts w:ascii="Calibri" w:eastAsia="Calibri" w:hAnsi="Calibri" w:cs="Calibri"/>
          <w:b/>
          <w:sz w:val="22"/>
          <w:szCs w:val="22"/>
        </w:rPr>
        <w:t>Professional experience:</w:t>
      </w:r>
    </w:p>
    <w:p w14:paraId="450BAEEF" w14:textId="77777777" w:rsidR="00F231C6" w:rsidRDefault="00F231C6">
      <w:pPr>
        <w:pBdr>
          <w:top w:val="none" w:sz="0" w:space="0" w:color="000000"/>
          <w:left w:val="none" w:sz="0" w:space="0" w:color="000000"/>
          <w:bottom w:val="none" w:sz="0" w:space="0" w:color="000000"/>
          <w:right w:val="none" w:sz="0" w:space="0" w:color="000000"/>
          <w:between w:val="none" w:sz="0" w:space="0" w:color="000000"/>
        </w:pBdr>
        <w:ind w:left="1080"/>
        <w:jc w:val="both"/>
        <w:rPr>
          <w:rFonts w:ascii="Calibri" w:eastAsia="Calibri" w:hAnsi="Calibri" w:cs="Calibri"/>
          <w:sz w:val="22"/>
          <w:szCs w:val="22"/>
        </w:rPr>
      </w:pPr>
    </w:p>
    <w:p w14:paraId="6C42F185" w14:textId="77777777" w:rsidR="00F231C6" w:rsidRDefault="00000000">
      <w:pPr>
        <w:numPr>
          <w:ilvl w:val="0"/>
          <w:numId w:val="1"/>
        </w:numPr>
        <w:pBdr>
          <w:top w:val="nil"/>
          <w:left w:val="nil"/>
          <w:bottom w:val="nil"/>
          <w:right w:val="nil"/>
          <w:between w:val="nil"/>
        </w:pBdr>
        <w:rPr>
          <w:color w:val="000000"/>
          <w:sz w:val="22"/>
          <w:szCs w:val="22"/>
        </w:rPr>
      </w:pPr>
      <w:r>
        <w:rPr>
          <w:rFonts w:ascii="Calibri" w:eastAsia="Calibri" w:hAnsi="Calibri" w:cs="Calibri"/>
          <w:color w:val="000000"/>
          <w:sz w:val="22"/>
          <w:szCs w:val="22"/>
          <w:highlight w:val="white"/>
        </w:rPr>
        <w:t xml:space="preserve">At least 5 years </w:t>
      </w:r>
      <w:r>
        <w:rPr>
          <w:rFonts w:ascii="Calibri" w:eastAsia="Calibri" w:hAnsi="Calibri" w:cs="Calibri"/>
          <w:color w:val="000000"/>
          <w:sz w:val="22"/>
          <w:szCs w:val="22"/>
        </w:rPr>
        <w:t>of work experience after graduation</w:t>
      </w:r>
      <w:r>
        <w:rPr>
          <w:rFonts w:ascii="Calibri" w:eastAsia="Calibri" w:hAnsi="Calibri" w:cs="Calibri"/>
          <w:sz w:val="22"/>
          <w:szCs w:val="22"/>
        </w:rPr>
        <w:t>.</w:t>
      </w:r>
    </w:p>
    <w:p w14:paraId="5F386E54" w14:textId="77777777" w:rsidR="00F231C6" w:rsidRDefault="00F231C6">
      <w:pPr>
        <w:pBdr>
          <w:top w:val="nil"/>
          <w:left w:val="nil"/>
          <w:bottom w:val="nil"/>
          <w:right w:val="nil"/>
          <w:between w:val="nil"/>
        </w:pBdr>
        <w:ind w:left="720" w:hanging="360"/>
        <w:jc w:val="both"/>
        <w:rPr>
          <w:rFonts w:ascii="Calibri" w:eastAsia="Calibri" w:hAnsi="Calibri" w:cs="Calibri"/>
          <w:sz w:val="22"/>
          <w:szCs w:val="22"/>
        </w:rPr>
      </w:pPr>
    </w:p>
    <w:p w14:paraId="12ED85D4" w14:textId="77777777" w:rsidR="00F231C6" w:rsidRDefault="0000000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 xml:space="preserve">5.3. </w:t>
      </w:r>
      <w:r>
        <w:rPr>
          <w:rFonts w:ascii="Calibri" w:eastAsia="Calibri" w:hAnsi="Calibri" w:cs="Calibri"/>
          <w:b/>
          <w:color w:val="000000"/>
          <w:sz w:val="22"/>
          <w:szCs w:val="22"/>
        </w:rPr>
        <w:t xml:space="preserve">Specific professional experience: </w:t>
      </w:r>
    </w:p>
    <w:p w14:paraId="3D33CC6A" w14:textId="77777777" w:rsidR="00F231C6" w:rsidRDefault="00F231C6">
      <w:pPr>
        <w:spacing w:line="276" w:lineRule="auto"/>
        <w:jc w:val="both"/>
        <w:rPr>
          <w:rFonts w:ascii="Calibri" w:eastAsia="Calibri" w:hAnsi="Calibri" w:cs="Calibri"/>
          <w:sz w:val="22"/>
          <w:szCs w:val="22"/>
        </w:rPr>
      </w:pPr>
    </w:p>
    <w:p w14:paraId="0735D368" w14:textId="77777777" w:rsidR="00F231C6"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Experience working with international donors, government agencies, or non-governmental organisations;</w:t>
      </w:r>
    </w:p>
    <w:p w14:paraId="36FBE88A" w14:textId="77777777" w:rsidR="00F231C6"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Experience in developing regulatory acts, recommendations, or guidelines would be an advantage;</w:t>
      </w:r>
    </w:p>
    <w:p w14:paraId="7914D2F7" w14:textId="77777777" w:rsidR="00F231C6" w:rsidRDefault="00000000">
      <w:pPr>
        <w:numPr>
          <w:ilvl w:val="0"/>
          <w:numId w:val="1"/>
        </w:numPr>
        <w:pBdr>
          <w:top w:val="nil"/>
          <w:left w:val="nil"/>
          <w:bottom w:val="nil"/>
          <w:right w:val="nil"/>
          <w:between w:val="nil"/>
        </w:pBdr>
        <w:rPr>
          <w:color w:val="000000"/>
          <w:sz w:val="22"/>
          <w:szCs w:val="22"/>
        </w:rPr>
      </w:pPr>
      <w:r>
        <w:rPr>
          <w:rFonts w:ascii="Calibri" w:eastAsia="Calibri" w:hAnsi="Calibri" w:cs="Calibri"/>
          <w:sz w:val="22"/>
          <w:szCs w:val="22"/>
        </w:rPr>
        <w:t>Experience in digital transformation / education and science / European integration / implementing international projects would be advantageous.</w:t>
      </w:r>
    </w:p>
    <w:p w14:paraId="2EEE4FF5" w14:textId="77777777" w:rsidR="00F231C6" w:rsidRDefault="00F231C6">
      <w:pPr>
        <w:ind w:left="720"/>
        <w:rPr>
          <w:rFonts w:ascii="Calibri" w:eastAsia="Calibri" w:hAnsi="Calibri" w:cs="Calibri"/>
          <w:sz w:val="22"/>
          <w:szCs w:val="22"/>
        </w:rPr>
      </w:pPr>
    </w:p>
    <w:p w14:paraId="077E3828" w14:textId="77777777" w:rsidR="00F231C6" w:rsidRDefault="00F231C6">
      <w:pPr>
        <w:pBdr>
          <w:top w:val="nil"/>
          <w:left w:val="nil"/>
          <w:bottom w:val="nil"/>
          <w:right w:val="nil"/>
          <w:between w:val="nil"/>
        </w:pBdr>
        <w:tabs>
          <w:tab w:val="left" w:pos="567"/>
        </w:tabs>
        <w:jc w:val="both"/>
        <w:rPr>
          <w:rFonts w:ascii="Calibri" w:eastAsia="Calibri" w:hAnsi="Calibri" w:cs="Calibri"/>
          <w:sz w:val="22"/>
          <w:szCs w:val="22"/>
        </w:rPr>
      </w:pPr>
      <w:bookmarkStart w:id="0" w:name="_heading=h.gjdgxs" w:colFirst="0" w:colLast="0"/>
      <w:bookmarkEnd w:id="0"/>
    </w:p>
    <w:p w14:paraId="103D1B52" w14:textId="77777777" w:rsidR="00F231C6" w:rsidRDefault="00000000">
      <w:pPr>
        <w:pBdr>
          <w:top w:val="nil"/>
          <w:left w:val="nil"/>
          <w:bottom w:val="nil"/>
          <w:right w:val="nil"/>
          <w:between w:val="nil"/>
        </w:pBdr>
        <w:ind w:hanging="2"/>
        <w:jc w:val="both"/>
        <w:rPr>
          <w:rFonts w:ascii="Calibri" w:eastAsia="Calibri" w:hAnsi="Calibri" w:cs="Calibri"/>
          <w:b/>
          <w:color w:val="000000"/>
          <w:sz w:val="22"/>
          <w:szCs w:val="22"/>
        </w:rPr>
      </w:pPr>
      <w:r>
        <w:rPr>
          <w:rFonts w:ascii="Calibri" w:eastAsia="Calibri" w:hAnsi="Calibri" w:cs="Calibri"/>
          <w:b/>
          <w:color w:val="000000"/>
          <w:sz w:val="22"/>
          <w:szCs w:val="22"/>
        </w:rPr>
        <w:t>6. Funding Source</w:t>
      </w:r>
    </w:p>
    <w:p w14:paraId="134DC287" w14:textId="77777777" w:rsidR="00F231C6" w:rsidRDefault="00000000">
      <w:pPr>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The funding source of this assignment is the EBRD-Ukraine Stabilisation and Sustainable Growth Multi-Donor Account (MDA), contributors to which are Austria, Denmark, Finland, France, Germany, Italy, Japan, Latvia, the Netherlands, Norway, Poland, Sweden, Switzerland, the United Kingdom and the United States, and the European Union.</w:t>
      </w:r>
    </w:p>
    <w:p w14:paraId="292C6F30" w14:textId="77777777" w:rsidR="00F231C6" w:rsidRDefault="00F231C6">
      <w:pPr>
        <w:pBdr>
          <w:top w:val="nil"/>
          <w:left w:val="nil"/>
          <w:bottom w:val="nil"/>
          <w:right w:val="nil"/>
          <w:between w:val="nil"/>
        </w:pBdr>
        <w:ind w:hanging="2"/>
        <w:jc w:val="both"/>
        <w:rPr>
          <w:rFonts w:ascii="Calibri" w:eastAsia="Calibri" w:hAnsi="Calibri" w:cs="Calibri"/>
          <w:b/>
          <w:color w:val="000000"/>
          <w:sz w:val="22"/>
          <w:szCs w:val="22"/>
        </w:rPr>
      </w:pPr>
    </w:p>
    <w:p w14:paraId="28B25C7B" w14:textId="77777777" w:rsidR="00F231C6" w:rsidRDefault="00000000">
      <w:pPr>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Please note that selection and contracting will be subject to the availability of funding.</w:t>
      </w:r>
    </w:p>
    <w:p w14:paraId="5D929E91" w14:textId="77777777" w:rsidR="00F231C6" w:rsidRDefault="00F231C6">
      <w:pPr>
        <w:pBdr>
          <w:top w:val="nil"/>
          <w:left w:val="nil"/>
          <w:bottom w:val="nil"/>
          <w:right w:val="nil"/>
          <w:between w:val="nil"/>
        </w:pBdr>
        <w:ind w:hanging="2"/>
        <w:jc w:val="both"/>
        <w:rPr>
          <w:rFonts w:ascii="Calibri" w:eastAsia="Calibri" w:hAnsi="Calibri" w:cs="Calibri"/>
          <w:color w:val="000000"/>
          <w:sz w:val="22"/>
          <w:szCs w:val="22"/>
        </w:rPr>
      </w:pPr>
    </w:p>
    <w:p w14:paraId="5CDA103E" w14:textId="77777777" w:rsidR="00F231C6" w:rsidRDefault="00000000">
      <w:pPr>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b/>
          <w:color w:val="000000"/>
          <w:sz w:val="22"/>
          <w:szCs w:val="22"/>
        </w:rPr>
        <w:t xml:space="preserve">7. Submissions </w:t>
      </w:r>
    </w:p>
    <w:p w14:paraId="34AE061F" w14:textId="77777777" w:rsidR="00F231C6" w:rsidRDefault="00000000">
      <w:pPr>
        <w:pBdr>
          <w:top w:val="nil"/>
          <w:left w:val="nil"/>
          <w:bottom w:val="nil"/>
          <w:right w:val="nil"/>
          <w:between w:val="nil"/>
        </w:pBdr>
        <w:ind w:hanging="2"/>
        <w:jc w:val="both"/>
        <w:rPr>
          <w:rFonts w:ascii="Calibri" w:eastAsia="Calibri" w:hAnsi="Calibri" w:cs="Calibri"/>
          <w:color w:val="000000"/>
          <w:sz w:val="22"/>
          <w:szCs w:val="22"/>
        </w:rPr>
      </w:pPr>
      <w:bookmarkStart w:id="1" w:name="_heading=h.30j0zll" w:colFirst="0" w:colLast="0"/>
      <w:bookmarkEnd w:id="1"/>
      <w:r>
        <w:rPr>
          <w:rFonts w:ascii="Calibri" w:eastAsia="Calibri" w:hAnsi="Calibri" w:cs="Calibri"/>
          <w:color w:val="000000"/>
          <w:sz w:val="22"/>
          <w:szCs w:val="22"/>
        </w:rPr>
        <w:t xml:space="preserve">Submissions must be prepared in English only and be delivered electronically by </w:t>
      </w:r>
      <w:r>
        <w:rPr>
          <w:rFonts w:ascii="Calibri" w:eastAsia="Calibri" w:hAnsi="Calibri" w:cs="Calibri"/>
          <w:b/>
          <w:color w:val="000000"/>
          <w:sz w:val="22"/>
          <w:szCs w:val="22"/>
        </w:rPr>
        <w:t>1</w:t>
      </w:r>
      <w:r>
        <w:rPr>
          <w:rFonts w:ascii="Calibri" w:eastAsia="Calibri" w:hAnsi="Calibri" w:cs="Calibri"/>
          <w:b/>
          <w:sz w:val="22"/>
          <w:szCs w:val="22"/>
        </w:rPr>
        <w:t>9</w:t>
      </w:r>
      <w:r>
        <w:rPr>
          <w:rFonts w:ascii="Calibri" w:eastAsia="Calibri" w:hAnsi="Calibri" w:cs="Calibri"/>
          <w:b/>
          <w:color w:val="000000"/>
          <w:sz w:val="22"/>
          <w:szCs w:val="22"/>
        </w:rPr>
        <w:t>.0</w:t>
      </w:r>
      <w:r>
        <w:rPr>
          <w:rFonts w:ascii="Calibri" w:eastAsia="Calibri" w:hAnsi="Calibri" w:cs="Calibri"/>
          <w:b/>
          <w:sz w:val="22"/>
          <w:szCs w:val="22"/>
        </w:rPr>
        <w:t>2</w:t>
      </w:r>
      <w:r>
        <w:rPr>
          <w:rFonts w:ascii="Calibri" w:eastAsia="Calibri" w:hAnsi="Calibri" w:cs="Calibri"/>
          <w:b/>
          <w:color w:val="000000"/>
          <w:sz w:val="22"/>
          <w:szCs w:val="22"/>
        </w:rPr>
        <w:t>.202</w:t>
      </w:r>
      <w:r>
        <w:rPr>
          <w:rFonts w:ascii="Calibri" w:eastAsia="Calibri" w:hAnsi="Calibri" w:cs="Calibri"/>
          <w:b/>
          <w:sz w:val="22"/>
          <w:szCs w:val="22"/>
        </w:rPr>
        <w:t>5</w:t>
      </w:r>
      <w:r>
        <w:rPr>
          <w:rFonts w:ascii="Calibri" w:eastAsia="Calibri" w:hAnsi="Calibri" w:cs="Calibri"/>
          <w:color w:val="000000"/>
          <w:sz w:val="22"/>
          <w:szCs w:val="22"/>
        </w:rPr>
        <w:t xml:space="preserve">, 23:59 (Kyiv time) to the following address: </w:t>
      </w:r>
      <w:r>
        <w:rPr>
          <w:rFonts w:ascii="Calibri" w:eastAsia="Calibri" w:hAnsi="Calibri" w:cs="Calibri"/>
          <w:color w:val="3C78D8"/>
          <w:sz w:val="22"/>
          <w:szCs w:val="22"/>
        </w:rPr>
        <w:t>rstmoes.recruitment@gmail.com</w:t>
      </w:r>
      <w:r>
        <w:rPr>
          <w:rFonts w:ascii="Calibri" w:eastAsia="Calibri" w:hAnsi="Calibri" w:cs="Calibri"/>
          <w:color w:val="000000"/>
          <w:sz w:val="22"/>
          <w:szCs w:val="22"/>
        </w:rPr>
        <w:t xml:space="preserve">. All submissions must include a completed </w:t>
      </w:r>
      <w:hyperlink r:id="rId10">
        <w:r>
          <w:rPr>
            <w:rFonts w:ascii="Calibri" w:eastAsia="Calibri" w:hAnsi="Calibri" w:cs="Calibri"/>
            <w:color w:val="1155CC"/>
            <w:sz w:val="22"/>
            <w:szCs w:val="22"/>
            <w:u w:val="single"/>
          </w:rPr>
          <w:t>Application Form</w:t>
        </w:r>
      </w:hyperlink>
      <w:r>
        <w:rPr>
          <w:rFonts w:ascii="Calibri" w:eastAsia="Calibri" w:hAnsi="Calibri" w:cs="Calibri"/>
          <w:color w:val="000000"/>
          <w:sz w:val="22"/>
          <w:szCs w:val="22"/>
        </w:rPr>
        <w:t xml:space="preserve">, </w:t>
      </w:r>
      <w:hyperlink r:id="rId11">
        <w:r>
          <w:rPr>
            <w:rFonts w:ascii="Calibri" w:eastAsia="Calibri" w:hAnsi="Calibri" w:cs="Calibri"/>
            <w:color w:val="1155CC"/>
            <w:sz w:val="22"/>
            <w:szCs w:val="22"/>
            <w:u w:val="single"/>
          </w:rPr>
          <w:t>NDA form</w:t>
        </w:r>
      </w:hyperlink>
      <w:r>
        <w:rPr>
          <w:rFonts w:ascii="Calibri" w:eastAsia="Calibri" w:hAnsi="Calibri" w:cs="Calibri"/>
          <w:color w:val="000000"/>
          <w:sz w:val="22"/>
          <w:szCs w:val="22"/>
        </w:rPr>
        <w:t>, the candidate’s Curriculum Vitae, contact details for three referees who, if contacted, can attest to the professional and/or educational background of the candidate.</w:t>
      </w:r>
    </w:p>
    <w:p w14:paraId="132DA6CF" w14:textId="77777777" w:rsidR="00F231C6" w:rsidRDefault="00F231C6">
      <w:pPr>
        <w:pBdr>
          <w:top w:val="nil"/>
          <w:left w:val="nil"/>
          <w:bottom w:val="nil"/>
          <w:right w:val="nil"/>
          <w:between w:val="nil"/>
        </w:pBdr>
        <w:ind w:hanging="2"/>
        <w:jc w:val="both"/>
        <w:rPr>
          <w:rFonts w:ascii="Calibri" w:eastAsia="Calibri" w:hAnsi="Calibri" w:cs="Calibri"/>
          <w:color w:val="000000"/>
          <w:sz w:val="22"/>
          <w:szCs w:val="22"/>
        </w:rPr>
      </w:pPr>
      <w:bookmarkStart w:id="2" w:name="_heading=h.gdclfj6u9qqk" w:colFirst="0" w:colLast="0"/>
      <w:bookmarkEnd w:id="2"/>
    </w:p>
    <w:p w14:paraId="59651AFB" w14:textId="77777777" w:rsidR="00F231C6" w:rsidRDefault="00000000">
      <w:pPr>
        <w:pBdr>
          <w:top w:val="nil"/>
          <w:left w:val="nil"/>
          <w:bottom w:val="nil"/>
          <w:right w:val="nil"/>
          <w:between w:val="nil"/>
        </w:pBdr>
        <w:ind w:hanging="2"/>
        <w:jc w:val="both"/>
        <w:rPr>
          <w:rFonts w:ascii="Calibri" w:eastAsia="Calibri" w:hAnsi="Calibri" w:cs="Calibri"/>
          <w:color w:val="000000"/>
          <w:sz w:val="22"/>
          <w:szCs w:val="22"/>
        </w:rPr>
      </w:pPr>
      <w:bookmarkStart w:id="3" w:name="_heading=h.d8t814he4qat" w:colFirst="0" w:colLast="0"/>
      <w:bookmarkEnd w:id="3"/>
      <w:r>
        <w:rPr>
          <w:rFonts w:ascii="Calibri" w:eastAsia="Calibri" w:hAnsi="Calibri" w:cs="Calibri"/>
          <w:b/>
          <w:color w:val="000000"/>
          <w:sz w:val="22"/>
          <w:szCs w:val="22"/>
        </w:rPr>
        <w:t xml:space="preserve">Important notice: only Ukrainian nationals are eligible to apply; civil servants are not eligible to apply unless 6 months have elapsed since they left such employment. </w:t>
      </w:r>
    </w:p>
    <w:p w14:paraId="16C8E97A" w14:textId="77777777" w:rsidR="00F231C6" w:rsidRDefault="00000000">
      <w:pPr>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Only applications that have been submitted using the correct template and are duly completed will be considered.</w:t>
      </w:r>
    </w:p>
    <w:p w14:paraId="34B19C14" w14:textId="77777777" w:rsidR="00F231C6" w:rsidRDefault="00F231C6">
      <w:pPr>
        <w:pBdr>
          <w:top w:val="nil"/>
          <w:left w:val="nil"/>
          <w:bottom w:val="nil"/>
          <w:right w:val="nil"/>
          <w:between w:val="nil"/>
        </w:pBdr>
        <w:ind w:hanging="2"/>
        <w:jc w:val="both"/>
        <w:rPr>
          <w:rFonts w:ascii="Calibri" w:eastAsia="Calibri" w:hAnsi="Calibri" w:cs="Calibri"/>
          <w:color w:val="000000"/>
          <w:sz w:val="22"/>
          <w:szCs w:val="22"/>
        </w:rPr>
      </w:pPr>
    </w:p>
    <w:p w14:paraId="1CBD6BEE" w14:textId="77777777" w:rsidR="00F231C6" w:rsidRDefault="00000000">
      <w:pPr>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b/>
          <w:color w:val="000000"/>
          <w:sz w:val="22"/>
          <w:szCs w:val="22"/>
        </w:rPr>
        <w:t xml:space="preserve">8. Selection Procedure </w:t>
      </w:r>
    </w:p>
    <w:p w14:paraId="29E259F0" w14:textId="77777777" w:rsidR="00F231C6" w:rsidRDefault="00000000">
      <w:pPr>
        <w:pBdr>
          <w:top w:val="nil"/>
          <w:left w:val="nil"/>
          <w:bottom w:val="nil"/>
          <w:right w:val="nil"/>
          <w:between w:val="nil"/>
        </w:pBdr>
        <w:ind w:hanging="2"/>
        <w:jc w:val="both"/>
        <w:rPr>
          <w:rFonts w:ascii="Calibri" w:eastAsia="Calibri" w:hAnsi="Calibri" w:cs="Calibri"/>
          <w:color w:val="000000"/>
          <w:sz w:val="22"/>
          <w:szCs w:val="22"/>
        </w:rPr>
      </w:pPr>
      <w:bookmarkStart w:id="4" w:name="_heading=h.1fob9te" w:colFirst="0" w:colLast="0"/>
      <w:bookmarkEnd w:id="4"/>
      <w:r>
        <w:rPr>
          <w:rFonts w:ascii="Calibri" w:eastAsia="Calibri" w:hAnsi="Calibri" w:cs="Calibri"/>
          <w:color w:val="000000"/>
          <w:sz w:val="22"/>
          <w:szCs w:val="22"/>
        </w:rPr>
        <w:t>Following the evaluation of all applications received, selected candidates may be invited to the tests. Only shortlisted candidates will be invited to the interview.</w:t>
      </w:r>
    </w:p>
    <w:p w14:paraId="6BA102CF" w14:textId="77777777" w:rsidR="00F231C6" w:rsidRDefault="00F231C6">
      <w:pPr>
        <w:pBdr>
          <w:top w:val="nil"/>
          <w:left w:val="nil"/>
          <w:bottom w:val="nil"/>
          <w:right w:val="nil"/>
          <w:between w:val="nil"/>
        </w:pBdr>
        <w:ind w:left="1080" w:hanging="360"/>
        <w:jc w:val="both"/>
        <w:rPr>
          <w:rFonts w:ascii="Calibri" w:eastAsia="Calibri" w:hAnsi="Calibri" w:cs="Calibri"/>
          <w:sz w:val="22"/>
          <w:szCs w:val="22"/>
        </w:rPr>
      </w:pPr>
    </w:p>
    <w:sectPr w:rsidR="00F231C6">
      <w:headerReference w:type="even" r:id="rId12"/>
      <w:headerReference w:type="default" r:id="rId13"/>
      <w:footerReference w:type="even" r:id="rId14"/>
      <w:footerReference w:type="default" r:id="rId15"/>
      <w:headerReference w:type="first" r:id="rId16"/>
      <w:footerReference w:type="first" r:id="rId17"/>
      <w:pgSz w:w="11900" w:h="16840"/>
      <w:pgMar w:top="850" w:right="850" w:bottom="850" w:left="212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76E0E" w14:textId="77777777" w:rsidR="00856A7E" w:rsidRDefault="00856A7E">
      <w:r>
        <w:separator/>
      </w:r>
    </w:p>
  </w:endnote>
  <w:endnote w:type="continuationSeparator" w:id="0">
    <w:p w14:paraId="2E1C5C6C" w14:textId="77777777" w:rsidR="00856A7E" w:rsidRDefault="0085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AF1E6B8-11F0-4440-8EDC-E01C6DF151A4}"/>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37CFA5BD-9FB7-4788-BD14-D23D9C75FEFA}"/>
    <w:embedBold r:id="rId3" w:fontKey="{3C3B197D-D848-4140-9FE8-B0A79391AD05}"/>
    <w:embedItalic r:id="rId4" w:fontKey="{D120F6FA-404F-4653-9FE7-8E1D4D615E7D}"/>
  </w:font>
  <w:font w:name="System Font">
    <w:panose1 w:val="00000000000000000000"/>
    <w:charset w:val="00"/>
    <w:family w:val="roman"/>
    <w:notTrueType/>
    <w:pitch w:val="default"/>
  </w:font>
  <w:font w:name="ヒラギノ角ゴ Pro W3">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embedRegular r:id="rId5" w:fontKey="{C691AD2C-2D72-472C-8DB9-0C29A80857D0}"/>
  </w:font>
  <w:font w:name="Segoe UI">
    <w:panose1 w:val="020B0502040204020203"/>
    <w:charset w:val="CC"/>
    <w:family w:val="swiss"/>
    <w:pitch w:val="variable"/>
    <w:sig w:usb0="E4002EFF" w:usb1="C000E47F" w:usb2="00000009" w:usb3="00000000" w:csb0="000001FF" w:csb1="00000000"/>
    <w:embedRegular r:id="rId6" w:fontKey="{9F6E04A0-78E7-41EA-91B9-BA3FB83F4AA9}"/>
    <w:embedBold r:id="rId7" w:fontKey="{BB895E57-EC3F-4844-89AD-157648BB5473}"/>
  </w:font>
  <w:font w:name="Georgia">
    <w:panose1 w:val="02040502050405020303"/>
    <w:charset w:val="CC"/>
    <w:family w:val="roman"/>
    <w:pitch w:val="variable"/>
    <w:sig w:usb0="00000287" w:usb1="00000000" w:usb2="00000000" w:usb3="00000000" w:csb0="0000009F" w:csb1="00000000"/>
    <w:embedRegular r:id="rId8" w:fontKey="{44FF0A7E-4C26-4E9C-9621-0C03039E4689}"/>
    <w:embedItalic r:id="rId9" w:fontKey="{60E27BD3-E5CA-4B0D-99C3-B0162990D7BB}"/>
  </w:font>
  <w:font w:name="Tahoma">
    <w:panose1 w:val="020B0604030504040204"/>
    <w:charset w:val="CC"/>
    <w:family w:val="swiss"/>
    <w:pitch w:val="variable"/>
    <w:sig w:usb0="E1002EFF" w:usb1="C000605B" w:usb2="00000029" w:usb3="00000000" w:csb0="000101FF" w:csb1="00000000"/>
    <w:embedRegular r:id="rId10" w:fontKey="{4A918ED7-AD54-4167-94C6-AF1E806A85A3}"/>
  </w:font>
  <w:font w:name="Noto Sans">
    <w:charset w:val="00"/>
    <w:family w:val="swiss"/>
    <w:pitch w:val="variable"/>
    <w:sig w:usb0="E00082FF" w:usb1="400078FF" w:usb2="00000021" w:usb3="00000000" w:csb0="0000019F" w:csb1="00000000"/>
    <w:embedRegular r:id="rId11" w:fontKey="{904F6D20-0D84-4171-B045-71A9B3B16F14}"/>
  </w:font>
  <w:font w:name="Cambria">
    <w:panose1 w:val="02040503050406030204"/>
    <w:charset w:val="CC"/>
    <w:family w:val="roman"/>
    <w:pitch w:val="variable"/>
    <w:sig w:usb0="E00006FF" w:usb1="420024FF" w:usb2="02000000" w:usb3="00000000" w:csb0="0000019F" w:csb1="00000000"/>
    <w:embedRegular r:id="rId12" w:fontKey="{0320AF6C-39EA-49B3-8527-B8EC7C64E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0C18" w14:textId="77777777" w:rsidR="00F231C6"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114300" distR="114300" simplePos="0" relativeHeight="251668480" behindDoc="0" locked="0" layoutInCell="1" hidden="0" allowOverlap="1" wp14:anchorId="5B0083D9" wp14:editId="3DCF1092">
              <wp:simplePos x="0" y="0"/>
              <wp:positionH relativeFrom="column">
                <wp:posOffset>1333500</wp:posOffset>
              </wp:positionH>
              <wp:positionV relativeFrom="paragraph">
                <wp:posOffset>0</wp:posOffset>
              </wp:positionV>
              <wp:extent cx="472440" cy="472440"/>
              <wp:effectExtent l="0" t="0" r="0" b="0"/>
              <wp:wrapNone/>
              <wp:docPr id="1891521225" name="Полілінія: фігура 1891521225"/>
              <wp:cNvGraphicFramePr/>
              <a:graphic xmlns:a="http://schemas.openxmlformats.org/drawingml/2006/main">
                <a:graphicData uri="http://schemas.microsoft.com/office/word/2010/wordprocessingShape">
                  <wps:wsp>
                    <wps:cNvSpPr/>
                    <wps:spPr>
                      <a:xfrm>
                        <a:off x="5124068" y="3558068"/>
                        <a:ext cx="443865" cy="443865"/>
                      </a:xfrm>
                      <a:custGeom>
                        <a:avLst/>
                        <a:gdLst/>
                        <a:ahLst/>
                        <a:cxnLst/>
                        <a:rect l="l" t="t" r="r" b="b"/>
                        <a:pathLst>
                          <a:path w="443865" h="443865" extrusionOk="0">
                            <a:moveTo>
                              <a:pt x="0" y="0"/>
                            </a:moveTo>
                            <a:lnTo>
                              <a:pt x="0" y="443865"/>
                            </a:lnTo>
                            <a:lnTo>
                              <a:pt x="443865" y="443865"/>
                            </a:lnTo>
                            <a:lnTo>
                              <a:pt x="443865" y="0"/>
                            </a:lnTo>
                            <a:close/>
                          </a:path>
                        </a:pathLst>
                      </a:custGeom>
                      <a:noFill/>
                      <a:ln>
                        <a:noFill/>
                      </a:ln>
                    </wps:spPr>
                    <wps:txbx>
                      <w:txbxContent>
                        <w:p w14:paraId="60BE088A" w14:textId="77777777" w:rsidR="00F231C6" w:rsidRDefault="00000000">
                          <w:pPr>
                            <w:textDirection w:val="btLr"/>
                          </w:pPr>
                          <w:r>
                            <w:rPr>
                              <w:rFonts w:ascii="Calibri" w:eastAsia="Calibri" w:hAnsi="Calibri" w:cs="Calibri"/>
                              <w:color w:val="0000FF"/>
                            </w:rPr>
                            <w:t>OFFICIAL USE</w:t>
                          </w:r>
                        </w:p>
                      </w:txbxContent>
                    </wps:txbx>
                    <wps:bodyPr spcFirstLastPara="1" wrap="square" lIns="0" tIns="38100" rIns="0" bIns="381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472440" cy="472440"/>
              <wp:effectExtent b="0" l="0" r="0" t="0"/>
              <wp:wrapNone/>
              <wp:docPr id="189152122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r>
      <w:rPr>
        <w:noProof/>
      </w:rPr>
      <mc:AlternateContent>
        <mc:Choice Requires="wpg">
          <w:drawing>
            <wp:anchor distT="0" distB="0" distL="0" distR="0" simplePos="0" relativeHeight="251669504" behindDoc="0" locked="0" layoutInCell="1" hidden="0" allowOverlap="1" wp14:anchorId="4BBB8ABA" wp14:editId="74C5EBAA">
              <wp:simplePos x="0" y="0"/>
              <wp:positionH relativeFrom="column">
                <wp:posOffset>1244600</wp:posOffset>
              </wp:positionH>
              <wp:positionV relativeFrom="paragraph">
                <wp:posOffset>0</wp:posOffset>
              </wp:positionV>
              <wp:extent cx="453390" cy="453390"/>
              <wp:effectExtent l="0" t="0" r="0" b="0"/>
              <wp:wrapNone/>
              <wp:docPr id="1891521218" name="Прямокутник 18915212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B32C1DC" w14:textId="77777777" w:rsidR="00F231C6"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1244600</wp:posOffset>
              </wp:positionH>
              <wp:positionV relativeFrom="paragraph">
                <wp:posOffset>0</wp:posOffset>
              </wp:positionV>
              <wp:extent cx="453390" cy="453390"/>
              <wp:effectExtent b="0" l="0" r="0" t="0"/>
              <wp:wrapNone/>
              <wp:docPr descr="OFFICIAL USE" id="1891521218"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F9F65" w14:textId="77777777" w:rsidR="00F231C6"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114300" distR="114300" simplePos="0" relativeHeight="251664384" behindDoc="0" locked="0" layoutInCell="1" hidden="0" allowOverlap="1" wp14:anchorId="67EEE0C0" wp14:editId="523119AA">
              <wp:simplePos x="0" y="0"/>
              <wp:positionH relativeFrom="column">
                <wp:posOffset>1333500</wp:posOffset>
              </wp:positionH>
              <wp:positionV relativeFrom="paragraph">
                <wp:posOffset>0</wp:posOffset>
              </wp:positionV>
              <wp:extent cx="472440" cy="472440"/>
              <wp:effectExtent l="0" t="0" r="0" b="0"/>
              <wp:wrapNone/>
              <wp:docPr id="1891521229" name="Полілінія: фігура 1891521229"/>
              <wp:cNvGraphicFramePr/>
              <a:graphic xmlns:a="http://schemas.openxmlformats.org/drawingml/2006/main">
                <a:graphicData uri="http://schemas.microsoft.com/office/word/2010/wordprocessingShape">
                  <wps:wsp>
                    <wps:cNvSpPr/>
                    <wps:spPr>
                      <a:xfrm>
                        <a:off x="5124068" y="3558068"/>
                        <a:ext cx="443865" cy="443865"/>
                      </a:xfrm>
                      <a:custGeom>
                        <a:avLst/>
                        <a:gdLst/>
                        <a:ahLst/>
                        <a:cxnLst/>
                        <a:rect l="l" t="t" r="r" b="b"/>
                        <a:pathLst>
                          <a:path w="443865" h="443865" extrusionOk="0">
                            <a:moveTo>
                              <a:pt x="0" y="0"/>
                            </a:moveTo>
                            <a:lnTo>
                              <a:pt x="0" y="443865"/>
                            </a:lnTo>
                            <a:lnTo>
                              <a:pt x="443865" y="443865"/>
                            </a:lnTo>
                            <a:lnTo>
                              <a:pt x="443865" y="0"/>
                            </a:lnTo>
                            <a:close/>
                          </a:path>
                        </a:pathLst>
                      </a:custGeom>
                      <a:noFill/>
                      <a:ln>
                        <a:noFill/>
                      </a:ln>
                    </wps:spPr>
                    <wps:txbx>
                      <w:txbxContent>
                        <w:p w14:paraId="3133E26A" w14:textId="77777777" w:rsidR="00F231C6" w:rsidRDefault="00000000">
                          <w:pPr>
                            <w:textDirection w:val="btLr"/>
                          </w:pPr>
                          <w:r>
                            <w:rPr>
                              <w:rFonts w:ascii="Calibri" w:eastAsia="Calibri" w:hAnsi="Calibri" w:cs="Calibri"/>
                              <w:color w:val="0000FF"/>
                            </w:rPr>
                            <w:t>OFFICIAL USE</w:t>
                          </w:r>
                        </w:p>
                      </w:txbxContent>
                    </wps:txbx>
                    <wps:bodyPr spcFirstLastPara="1" wrap="square" lIns="0" tIns="38100" rIns="0" bIns="381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472440" cy="472440"/>
              <wp:effectExtent b="0" l="0" r="0" t="0"/>
              <wp:wrapNone/>
              <wp:docPr id="189152122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r>
      <w:rPr>
        <w:noProof/>
      </w:rPr>
      <mc:AlternateContent>
        <mc:Choice Requires="wpg">
          <w:drawing>
            <wp:anchor distT="0" distB="0" distL="0" distR="0" simplePos="0" relativeHeight="251665408" behindDoc="0" locked="0" layoutInCell="1" hidden="0" allowOverlap="1" wp14:anchorId="40B26886" wp14:editId="1760A763">
              <wp:simplePos x="0" y="0"/>
              <wp:positionH relativeFrom="column">
                <wp:posOffset>1244600</wp:posOffset>
              </wp:positionH>
              <wp:positionV relativeFrom="paragraph">
                <wp:posOffset>0</wp:posOffset>
              </wp:positionV>
              <wp:extent cx="453390" cy="453390"/>
              <wp:effectExtent l="0" t="0" r="0" b="0"/>
              <wp:wrapNone/>
              <wp:docPr id="1891521223" name="Прямокутник 189152122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18B19BC" w14:textId="77777777" w:rsidR="00F231C6"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1244600</wp:posOffset>
              </wp:positionH>
              <wp:positionV relativeFrom="paragraph">
                <wp:posOffset>0</wp:posOffset>
              </wp:positionV>
              <wp:extent cx="453390" cy="453390"/>
              <wp:effectExtent b="0" l="0" r="0" t="0"/>
              <wp:wrapNone/>
              <wp:docPr descr="OFFICIAL USE" id="1891521223"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C89D" w14:textId="77777777" w:rsidR="00F231C6"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114300" distR="114300" simplePos="0" relativeHeight="251666432" behindDoc="0" locked="0" layoutInCell="1" hidden="0" allowOverlap="1" wp14:anchorId="28EA3913" wp14:editId="3C9C5C0E">
              <wp:simplePos x="0" y="0"/>
              <wp:positionH relativeFrom="column">
                <wp:posOffset>1333500</wp:posOffset>
              </wp:positionH>
              <wp:positionV relativeFrom="paragraph">
                <wp:posOffset>0</wp:posOffset>
              </wp:positionV>
              <wp:extent cx="472440" cy="472440"/>
              <wp:effectExtent l="0" t="0" r="0" b="0"/>
              <wp:wrapNone/>
              <wp:docPr id="1891521220" name="Полілінія: фігура 1891521220"/>
              <wp:cNvGraphicFramePr/>
              <a:graphic xmlns:a="http://schemas.openxmlformats.org/drawingml/2006/main">
                <a:graphicData uri="http://schemas.microsoft.com/office/word/2010/wordprocessingShape">
                  <wps:wsp>
                    <wps:cNvSpPr/>
                    <wps:spPr>
                      <a:xfrm>
                        <a:off x="5124068" y="3558068"/>
                        <a:ext cx="443865" cy="443865"/>
                      </a:xfrm>
                      <a:custGeom>
                        <a:avLst/>
                        <a:gdLst/>
                        <a:ahLst/>
                        <a:cxnLst/>
                        <a:rect l="l" t="t" r="r" b="b"/>
                        <a:pathLst>
                          <a:path w="443865" h="443865" extrusionOk="0">
                            <a:moveTo>
                              <a:pt x="0" y="0"/>
                            </a:moveTo>
                            <a:lnTo>
                              <a:pt x="0" y="443865"/>
                            </a:lnTo>
                            <a:lnTo>
                              <a:pt x="443865" y="443865"/>
                            </a:lnTo>
                            <a:lnTo>
                              <a:pt x="443865" y="0"/>
                            </a:lnTo>
                            <a:close/>
                          </a:path>
                        </a:pathLst>
                      </a:custGeom>
                      <a:noFill/>
                      <a:ln>
                        <a:noFill/>
                      </a:ln>
                    </wps:spPr>
                    <wps:txbx>
                      <w:txbxContent>
                        <w:p w14:paraId="5E49A23B" w14:textId="77777777" w:rsidR="00F231C6" w:rsidRDefault="00000000">
                          <w:pPr>
                            <w:textDirection w:val="btLr"/>
                          </w:pPr>
                          <w:r>
                            <w:rPr>
                              <w:rFonts w:ascii="Calibri" w:eastAsia="Calibri" w:hAnsi="Calibri" w:cs="Calibri"/>
                              <w:color w:val="0000FF"/>
                            </w:rPr>
                            <w:t>OFFICIAL USE</w:t>
                          </w:r>
                        </w:p>
                      </w:txbxContent>
                    </wps:txbx>
                    <wps:bodyPr spcFirstLastPara="1" wrap="square" lIns="0" tIns="38100" rIns="0" bIns="381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472440" cy="472440"/>
              <wp:effectExtent b="0" l="0" r="0" t="0"/>
              <wp:wrapNone/>
              <wp:docPr id="189152122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r>
      <w:rPr>
        <w:noProof/>
      </w:rPr>
      <mc:AlternateContent>
        <mc:Choice Requires="wpg">
          <w:drawing>
            <wp:anchor distT="0" distB="0" distL="0" distR="0" simplePos="0" relativeHeight="251667456" behindDoc="0" locked="0" layoutInCell="1" hidden="0" allowOverlap="1" wp14:anchorId="558449DE" wp14:editId="4F12C01C">
              <wp:simplePos x="0" y="0"/>
              <wp:positionH relativeFrom="column">
                <wp:posOffset>1244600</wp:posOffset>
              </wp:positionH>
              <wp:positionV relativeFrom="paragraph">
                <wp:posOffset>0</wp:posOffset>
              </wp:positionV>
              <wp:extent cx="453390" cy="453390"/>
              <wp:effectExtent l="0" t="0" r="0" b="0"/>
              <wp:wrapNone/>
              <wp:docPr id="1891521226" name="Прямокутник 189152122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EAE36D2" w14:textId="77777777" w:rsidR="00F231C6"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1244600</wp:posOffset>
              </wp:positionH>
              <wp:positionV relativeFrom="paragraph">
                <wp:posOffset>0</wp:posOffset>
              </wp:positionV>
              <wp:extent cx="453390" cy="453390"/>
              <wp:effectExtent b="0" l="0" r="0" t="0"/>
              <wp:wrapNone/>
              <wp:docPr descr="OFFICIAL USE" id="1891521226" name="image10.png"/>
              <a:graphic>
                <a:graphicData uri="http://schemas.openxmlformats.org/drawingml/2006/picture">
                  <pic:pic>
                    <pic:nvPicPr>
                      <pic:cNvPr descr="OFFICIAL USE" id="0" name="image10.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B752C" w14:textId="77777777" w:rsidR="00856A7E" w:rsidRDefault="00856A7E">
      <w:r>
        <w:separator/>
      </w:r>
    </w:p>
  </w:footnote>
  <w:footnote w:type="continuationSeparator" w:id="0">
    <w:p w14:paraId="489B86DE" w14:textId="77777777" w:rsidR="00856A7E" w:rsidRDefault="00856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5073" w14:textId="77777777" w:rsidR="00F231C6"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2336" behindDoc="0" locked="0" layoutInCell="1" hidden="0" allowOverlap="1" wp14:anchorId="4DD7CD8D" wp14:editId="6AF56B25">
              <wp:simplePos x="0" y="0"/>
              <wp:positionH relativeFrom="page">
                <wp:align>center</wp:align>
              </wp:positionH>
              <wp:positionV relativeFrom="page">
                <wp:align>top</wp:align>
              </wp:positionV>
              <wp:extent cx="453390" cy="453390"/>
              <wp:effectExtent l="0" t="0" r="0" b="0"/>
              <wp:wrapNone/>
              <wp:docPr id="1891521221" name="Прямокутник 189152122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051A5E3" w14:textId="77777777" w:rsidR="00F231C6"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891521221"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3360" behindDoc="0" locked="0" layoutInCell="1" hidden="0" allowOverlap="1" wp14:anchorId="641C4ADF" wp14:editId="2C714486">
              <wp:simplePos x="0" y="0"/>
              <wp:positionH relativeFrom="page">
                <wp:align>center</wp:align>
              </wp:positionH>
              <wp:positionV relativeFrom="page">
                <wp:align>top</wp:align>
              </wp:positionV>
              <wp:extent cx="472440" cy="472440"/>
              <wp:effectExtent l="0" t="0" r="0" b="0"/>
              <wp:wrapNone/>
              <wp:docPr id="1891521228" name="Полілінія: фігура 1891521228"/>
              <wp:cNvGraphicFramePr/>
              <a:graphic xmlns:a="http://schemas.openxmlformats.org/drawingml/2006/main">
                <a:graphicData uri="http://schemas.microsoft.com/office/word/2010/wordprocessingShape">
                  <wps:wsp>
                    <wps:cNvSpPr/>
                    <wps:spPr>
                      <a:xfrm>
                        <a:off x="5124068" y="3558068"/>
                        <a:ext cx="443865" cy="443865"/>
                      </a:xfrm>
                      <a:custGeom>
                        <a:avLst/>
                        <a:gdLst/>
                        <a:ahLst/>
                        <a:cxnLst/>
                        <a:rect l="l" t="t" r="r" b="b"/>
                        <a:pathLst>
                          <a:path w="443865" h="443865" extrusionOk="0">
                            <a:moveTo>
                              <a:pt x="0" y="0"/>
                            </a:moveTo>
                            <a:lnTo>
                              <a:pt x="0" y="443865"/>
                            </a:lnTo>
                            <a:lnTo>
                              <a:pt x="443865" y="443865"/>
                            </a:lnTo>
                            <a:lnTo>
                              <a:pt x="443865" y="0"/>
                            </a:lnTo>
                            <a:close/>
                          </a:path>
                        </a:pathLst>
                      </a:custGeom>
                      <a:noFill/>
                      <a:ln>
                        <a:noFill/>
                      </a:ln>
                    </wps:spPr>
                    <wps:txbx>
                      <w:txbxContent>
                        <w:p w14:paraId="761AC5AC" w14:textId="77777777" w:rsidR="00F231C6" w:rsidRDefault="00000000">
                          <w:pPr>
                            <w:textDirection w:val="btLr"/>
                          </w:pPr>
                          <w:r>
                            <w:rPr>
                              <w:rFonts w:ascii="Calibri" w:eastAsia="Calibri" w:hAnsi="Calibri" w:cs="Calibri"/>
                              <w:color w:val="0000FF"/>
                            </w:rPr>
                            <w:t>OFFICIAL USE</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472440" cy="472440"/>
              <wp:effectExtent b="0" l="0" r="0" t="0"/>
              <wp:wrapNone/>
              <wp:docPr id="1891521228"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4EBE0" w14:textId="77777777" w:rsidR="00F231C6"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105E97A8" wp14:editId="17ECCCBE">
              <wp:simplePos x="0" y="0"/>
              <wp:positionH relativeFrom="page">
                <wp:align>center</wp:align>
              </wp:positionH>
              <wp:positionV relativeFrom="page">
                <wp:align>top</wp:align>
              </wp:positionV>
              <wp:extent cx="453390" cy="453390"/>
              <wp:effectExtent l="0" t="0" r="0" b="0"/>
              <wp:wrapNone/>
              <wp:docPr id="1891521227" name="Прямокутник 189152122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D60D2AF" w14:textId="77777777" w:rsidR="00F231C6"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891521227" name="image11.png"/>
              <a:graphic>
                <a:graphicData uri="http://schemas.openxmlformats.org/drawingml/2006/picture">
                  <pic:pic>
                    <pic:nvPicPr>
                      <pic:cNvPr descr="OFFICIAL USE" id="0" name="image1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59264" behindDoc="0" locked="0" layoutInCell="1" hidden="0" allowOverlap="1" wp14:anchorId="72775E27" wp14:editId="6863E2CB">
              <wp:simplePos x="0" y="0"/>
              <wp:positionH relativeFrom="page">
                <wp:align>center</wp:align>
              </wp:positionH>
              <wp:positionV relativeFrom="page">
                <wp:align>top</wp:align>
              </wp:positionV>
              <wp:extent cx="472440" cy="472440"/>
              <wp:effectExtent l="0" t="0" r="0" b="0"/>
              <wp:wrapNone/>
              <wp:docPr id="1891521224" name="Полілінія: фігура 1891521224"/>
              <wp:cNvGraphicFramePr/>
              <a:graphic xmlns:a="http://schemas.openxmlformats.org/drawingml/2006/main">
                <a:graphicData uri="http://schemas.microsoft.com/office/word/2010/wordprocessingShape">
                  <wps:wsp>
                    <wps:cNvSpPr/>
                    <wps:spPr>
                      <a:xfrm>
                        <a:off x="5124068" y="3558068"/>
                        <a:ext cx="443865" cy="443865"/>
                      </a:xfrm>
                      <a:custGeom>
                        <a:avLst/>
                        <a:gdLst/>
                        <a:ahLst/>
                        <a:cxnLst/>
                        <a:rect l="l" t="t" r="r" b="b"/>
                        <a:pathLst>
                          <a:path w="443865" h="443865" extrusionOk="0">
                            <a:moveTo>
                              <a:pt x="0" y="0"/>
                            </a:moveTo>
                            <a:lnTo>
                              <a:pt x="0" y="443865"/>
                            </a:lnTo>
                            <a:lnTo>
                              <a:pt x="443865" y="443865"/>
                            </a:lnTo>
                            <a:lnTo>
                              <a:pt x="443865" y="0"/>
                            </a:lnTo>
                            <a:close/>
                          </a:path>
                        </a:pathLst>
                      </a:custGeom>
                      <a:noFill/>
                      <a:ln>
                        <a:noFill/>
                      </a:ln>
                    </wps:spPr>
                    <wps:txbx>
                      <w:txbxContent>
                        <w:p w14:paraId="792AC27F" w14:textId="77777777" w:rsidR="00F231C6" w:rsidRDefault="00000000">
                          <w:pPr>
                            <w:textDirection w:val="btLr"/>
                          </w:pPr>
                          <w:r>
                            <w:rPr>
                              <w:rFonts w:ascii="Calibri" w:eastAsia="Calibri" w:hAnsi="Calibri" w:cs="Calibri"/>
                              <w:color w:val="0000FF"/>
                            </w:rPr>
                            <w:t>OFFICIAL USE</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472440" cy="472440"/>
              <wp:effectExtent b="0" l="0" r="0" t="0"/>
              <wp:wrapNone/>
              <wp:docPr id="189152122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BCAE6" w14:textId="77777777" w:rsidR="00F231C6"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60288" behindDoc="0" locked="0" layoutInCell="1" hidden="0" allowOverlap="1" wp14:anchorId="7202381C" wp14:editId="5A2F7E62">
              <wp:simplePos x="0" y="0"/>
              <wp:positionH relativeFrom="page">
                <wp:align>center</wp:align>
              </wp:positionH>
              <wp:positionV relativeFrom="page">
                <wp:align>top</wp:align>
              </wp:positionV>
              <wp:extent cx="453390" cy="453390"/>
              <wp:effectExtent l="0" t="0" r="0" b="0"/>
              <wp:wrapNone/>
              <wp:docPr id="1891521222" name="Прямокутник 189152122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63AF211" w14:textId="77777777" w:rsidR="00F231C6"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891521222"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6B106B50" wp14:editId="6FF1C39C">
              <wp:simplePos x="0" y="0"/>
              <wp:positionH relativeFrom="page">
                <wp:align>center</wp:align>
              </wp:positionH>
              <wp:positionV relativeFrom="page">
                <wp:align>top</wp:align>
              </wp:positionV>
              <wp:extent cx="472440" cy="472440"/>
              <wp:effectExtent l="0" t="0" r="0" b="0"/>
              <wp:wrapNone/>
              <wp:docPr id="1891521219" name="Полілінія: фігура 1891521219"/>
              <wp:cNvGraphicFramePr/>
              <a:graphic xmlns:a="http://schemas.openxmlformats.org/drawingml/2006/main">
                <a:graphicData uri="http://schemas.microsoft.com/office/word/2010/wordprocessingShape">
                  <wps:wsp>
                    <wps:cNvSpPr/>
                    <wps:spPr>
                      <a:xfrm>
                        <a:off x="5124068" y="3558068"/>
                        <a:ext cx="443865" cy="443865"/>
                      </a:xfrm>
                      <a:custGeom>
                        <a:avLst/>
                        <a:gdLst/>
                        <a:ahLst/>
                        <a:cxnLst/>
                        <a:rect l="l" t="t" r="r" b="b"/>
                        <a:pathLst>
                          <a:path w="443865" h="443865" extrusionOk="0">
                            <a:moveTo>
                              <a:pt x="0" y="0"/>
                            </a:moveTo>
                            <a:lnTo>
                              <a:pt x="0" y="443865"/>
                            </a:lnTo>
                            <a:lnTo>
                              <a:pt x="443865" y="443865"/>
                            </a:lnTo>
                            <a:lnTo>
                              <a:pt x="443865" y="0"/>
                            </a:lnTo>
                            <a:close/>
                          </a:path>
                        </a:pathLst>
                      </a:custGeom>
                      <a:noFill/>
                      <a:ln>
                        <a:noFill/>
                      </a:ln>
                    </wps:spPr>
                    <wps:txbx>
                      <w:txbxContent>
                        <w:p w14:paraId="4A187C0C" w14:textId="77777777" w:rsidR="00F231C6" w:rsidRDefault="00000000">
                          <w:pPr>
                            <w:textDirection w:val="btLr"/>
                          </w:pPr>
                          <w:r>
                            <w:rPr>
                              <w:rFonts w:ascii="Calibri" w:eastAsia="Calibri" w:hAnsi="Calibri" w:cs="Calibri"/>
                              <w:color w:val="0000FF"/>
                            </w:rPr>
                            <w:t>OFFICIAL USE</w:t>
                          </w:r>
                        </w:p>
                      </w:txbxContent>
                    </wps:txbx>
                    <wps:bodyPr spcFirstLastPara="1" wrap="square" lIns="0" tIns="38100" rIns="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472440" cy="472440"/>
              <wp:effectExtent b="0" l="0" r="0" t="0"/>
              <wp:wrapNone/>
              <wp:docPr id="189152121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D23C1"/>
    <w:multiLevelType w:val="multilevel"/>
    <w:tmpl w:val="D5EC8014"/>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4813FFE"/>
    <w:multiLevelType w:val="multilevel"/>
    <w:tmpl w:val="86108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4238197">
    <w:abstractNumId w:val="1"/>
  </w:num>
  <w:num w:numId="2" w16cid:durableId="269241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1C6"/>
    <w:rsid w:val="000228A8"/>
    <w:rsid w:val="00856A7E"/>
    <w:rsid w:val="00F231C6"/>
    <w:rsid w:val="00F94F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FBBC9"/>
  <w15:docId w15:val="{14755502-AA1C-40C0-AA65-9F3A12A9A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0551"/>
  </w:style>
  <w:style w:type="paragraph" w:styleId="10">
    <w:name w:val="heading 1"/>
    <w:basedOn w:val="a"/>
    <w:next w:val="a"/>
    <w:uiPriority w:val="9"/>
    <w:qFormat/>
    <w:rsid w:val="00060551"/>
    <w:pPr>
      <w:keepNext/>
      <w:keepLines/>
      <w:spacing w:before="480" w:after="120"/>
      <w:outlineLvl w:val="0"/>
    </w:pPr>
    <w:rPr>
      <w:b/>
      <w:sz w:val="48"/>
      <w:szCs w:val="48"/>
    </w:rPr>
  </w:style>
  <w:style w:type="paragraph" w:styleId="2">
    <w:name w:val="heading 2"/>
    <w:basedOn w:val="a"/>
    <w:next w:val="a"/>
    <w:uiPriority w:val="9"/>
    <w:semiHidden/>
    <w:unhideWhenUsed/>
    <w:qFormat/>
    <w:rsid w:val="00060551"/>
    <w:pPr>
      <w:keepNext/>
      <w:keepLines/>
      <w:spacing w:before="360" w:after="80"/>
      <w:outlineLvl w:val="1"/>
    </w:pPr>
    <w:rPr>
      <w:b/>
      <w:sz w:val="36"/>
      <w:szCs w:val="36"/>
    </w:rPr>
  </w:style>
  <w:style w:type="paragraph" w:styleId="3">
    <w:name w:val="heading 3"/>
    <w:basedOn w:val="a"/>
    <w:next w:val="a"/>
    <w:uiPriority w:val="9"/>
    <w:semiHidden/>
    <w:unhideWhenUsed/>
    <w:qFormat/>
    <w:rsid w:val="00060551"/>
    <w:pPr>
      <w:keepNext/>
      <w:keepLines/>
      <w:spacing w:before="280" w:after="80"/>
      <w:outlineLvl w:val="2"/>
    </w:pPr>
    <w:rPr>
      <w:b/>
      <w:sz w:val="28"/>
      <w:szCs w:val="28"/>
    </w:rPr>
  </w:style>
  <w:style w:type="paragraph" w:styleId="4">
    <w:name w:val="heading 4"/>
    <w:basedOn w:val="a"/>
    <w:next w:val="a"/>
    <w:uiPriority w:val="9"/>
    <w:semiHidden/>
    <w:unhideWhenUsed/>
    <w:qFormat/>
    <w:rsid w:val="00060551"/>
    <w:pPr>
      <w:keepNext/>
      <w:keepLines/>
      <w:spacing w:before="240" w:after="40"/>
      <w:outlineLvl w:val="3"/>
    </w:pPr>
    <w:rPr>
      <w:b/>
      <w:sz w:val="24"/>
      <w:szCs w:val="24"/>
    </w:rPr>
  </w:style>
  <w:style w:type="paragraph" w:styleId="5">
    <w:name w:val="heading 5"/>
    <w:basedOn w:val="a"/>
    <w:next w:val="a"/>
    <w:uiPriority w:val="9"/>
    <w:semiHidden/>
    <w:unhideWhenUsed/>
    <w:qFormat/>
    <w:rsid w:val="00060551"/>
    <w:pPr>
      <w:keepNext/>
      <w:keepLines/>
      <w:spacing w:before="220" w:after="40"/>
      <w:outlineLvl w:val="4"/>
    </w:pPr>
    <w:rPr>
      <w:b/>
      <w:sz w:val="22"/>
      <w:szCs w:val="22"/>
    </w:rPr>
  </w:style>
  <w:style w:type="paragraph" w:styleId="6">
    <w:name w:val="heading 6"/>
    <w:basedOn w:val="a"/>
    <w:next w:val="a"/>
    <w:uiPriority w:val="9"/>
    <w:semiHidden/>
    <w:unhideWhenUsed/>
    <w:qFormat/>
    <w:rsid w:val="00060551"/>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rsid w:val="00060551"/>
    <w:pPr>
      <w:keepNext/>
      <w:keepLines/>
      <w:spacing w:before="480" w:after="120"/>
    </w:pPr>
    <w:rPr>
      <w:b/>
      <w:sz w:val="72"/>
      <w:szCs w:val="72"/>
    </w:rPr>
  </w:style>
  <w:style w:type="table" w:customStyle="1" w:styleId="TableNormal1">
    <w:name w:val="Table Normal1"/>
    <w:rsid w:val="00060551"/>
    <w:tblPr>
      <w:tblCellMar>
        <w:top w:w="0" w:type="dxa"/>
        <w:left w:w="0" w:type="dxa"/>
        <w:bottom w:w="0" w:type="dxa"/>
        <w:right w:w="0" w:type="dxa"/>
      </w:tblCellMar>
    </w:tblPr>
  </w:style>
  <w:style w:type="table" w:customStyle="1" w:styleId="TableNormal2">
    <w:name w:val="Table Normal2"/>
    <w:rsid w:val="00060551"/>
    <w:tblPr>
      <w:tblCellMar>
        <w:top w:w="0" w:type="dxa"/>
        <w:left w:w="0" w:type="dxa"/>
        <w:bottom w:w="0" w:type="dxa"/>
        <w:right w:w="0" w:type="dxa"/>
      </w:tblCellMar>
    </w:tblPr>
  </w:style>
  <w:style w:type="table" w:customStyle="1" w:styleId="TableNormal3">
    <w:name w:val="Table Normal3"/>
    <w:rsid w:val="00060551"/>
    <w:tblPr>
      <w:tblCellMar>
        <w:top w:w="0" w:type="dxa"/>
        <w:left w:w="0" w:type="dxa"/>
        <w:bottom w:w="0" w:type="dxa"/>
        <w:right w:w="0" w:type="dxa"/>
      </w:tblCellMar>
    </w:tblPr>
  </w:style>
  <w:style w:type="table" w:customStyle="1" w:styleId="TableNormal4">
    <w:name w:val="Table Normal4"/>
    <w:rsid w:val="00060551"/>
    <w:tblPr>
      <w:tblCellMar>
        <w:top w:w="0" w:type="dxa"/>
        <w:left w:w="0" w:type="dxa"/>
        <w:bottom w:w="0" w:type="dxa"/>
        <w:right w:w="0" w:type="dxa"/>
      </w:tblCellMar>
    </w:tblPr>
  </w:style>
  <w:style w:type="table" w:customStyle="1" w:styleId="TableNormal5">
    <w:name w:val="Table Normal5"/>
    <w:rsid w:val="00060551"/>
    <w:tblPr>
      <w:tblCellMar>
        <w:top w:w="0" w:type="dxa"/>
        <w:left w:w="0" w:type="dxa"/>
        <w:bottom w:w="0" w:type="dxa"/>
        <w:right w:w="0" w:type="dxa"/>
      </w:tblCellMar>
    </w:tblPr>
  </w:style>
  <w:style w:type="paragraph" w:customStyle="1" w:styleId="1">
    <w:name w:val="Звичайний1"/>
    <w:rsid w:val="00060551"/>
    <w:pPr>
      <w:numPr>
        <w:numId w:val="2"/>
      </w:numPr>
      <w:pBdr>
        <w:top w:val="nil"/>
        <w:left w:val="nil"/>
        <w:bottom w:val="nil"/>
        <w:right w:val="nil"/>
        <w:between w:val="nil"/>
      </w:pBdr>
      <w:suppressAutoHyphens/>
      <w:spacing w:line="1" w:lineRule="atLeast"/>
      <w:ind w:leftChars="-1" w:left="-1" w:hangingChars="1" w:hanging="1"/>
      <w:jc w:val="both"/>
      <w:textDirection w:val="btLr"/>
      <w:textAlignment w:val="top"/>
      <w:outlineLvl w:val="0"/>
    </w:pPr>
    <w:rPr>
      <w:rFonts w:ascii="Calibri" w:eastAsia="Calibri" w:hAnsi="Calibri" w:cs="Calibri"/>
      <w:bCs/>
      <w:color w:val="000000"/>
      <w:position w:val="-1"/>
      <w:sz w:val="22"/>
      <w:szCs w:val="22"/>
      <w:lang w:eastAsia="en-US"/>
    </w:rPr>
  </w:style>
  <w:style w:type="character" w:customStyle="1" w:styleId="a4">
    <w:name w:val="Шрифт абзацу за промовчанням"/>
    <w:rsid w:val="00060551"/>
    <w:rPr>
      <w:w w:val="100"/>
      <w:position w:val="-1"/>
      <w:effect w:val="none"/>
      <w:vertAlign w:val="baseline"/>
      <w:cs w:val="0"/>
      <w:em w:val="none"/>
    </w:rPr>
  </w:style>
  <w:style w:type="table" w:customStyle="1" w:styleId="11">
    <w:name w:val="Звичайна таблиця1"/>
    <w:rsid w:val="0006055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12">
    <w:name w:val="Немає списку1"/>
    <w:rsid w:val="00060551"/>
  </w:style>
  <w:style w:type="paragraph" w:customStyle="1" w:styleId="A5">
    <w:name w:val="Свободная форма A"/>
    <w:rsid w:val="00060551"/>
    <w:pPr>
      <w:suppressAutoHyphens/>
      <w:spacing w:after="160" w:line="259" w:lineRule="auto"/>
      <w:ind w:leftChars="-1" w:left="-1" w:hangingChars="1" w:hanging="1"/>
      <w:textDirection w:val="btLr"/>
      <w:textAlignment w:val="top"/>
      <w:outlineLvl w:val="0"/>
    </w:pPr>
    <w:rPr>
      <w:rFonts w:ascii="System Font" w:eastAsia="ヒラギノ角ゴ Pro W3" w:hAnsi="System Font"/>
      <w:color w:val="000000"/>
      <w:position w:val="-1"/>
      <w:sz w:val="22"/>
    </w:rPr>
  </w:style>
  <w:style w:type="paragraph" w:customStyle="1" w:styleId="a6">
    <w:name w:val="Свободная форма"/>
    <w:rsid w:val="00060551"/>
    <w:pPr>
      <w:suppressAutoHyphens/>
      <w:spacing w:line="1" w:lineRule="atLeast"/>
      <w:ind w:leftChars="-1" w:left="-1" w:hangingChars="1" w:hanging="1"/>
      <w:textDirection w:val="btLr"/>
      <w:textAlignment w:val="top"/>
      <w:outlineLvl w:val="0"/>
    </w:pPr>
    <w:rPr>
      <w:color w:val="000000"/>
      <w:position w:val="-1"/>
    </w:rPr>
  </w:style>
  <w:style w:type="paragraph" w:customStyle="1" w:styleId="normaltableau">
    <w:name w:val="normal_tableau"/>
    <w:rsid w:val="00060551"/>
    <w:pPr>
      <w:suppressAutoHyphens/>
      <w:spacing w:line="1" w:lineRule="atLeast"/>
      <w:ind w:leftChars="-1" w:left="-1" w:hangingChars="1" w:hanging="1"/>
      <w:jc w:val="both"/>
      <w:textDirection w:val="btLr"/>
      <w:textAlignment w:val="top"/>
      <w:outlineLvl w:val="0"/>
    </w:pPr>
    <w:rPr>
      <w:rFonts w:ascii="Arial" w:eastAsia="ヒラギノ角ゴ Pro W3" w:hAnsi="Arial"/>
      <w:color w:val="000000"/>
      <w:position w:val="-1"/>
    </w:rPr>
  </w:style>
  <w:style w:type="paragraph" w:customStyle="1" w:styleId="PuceGrise">
    <w:name w:val="Puce Grise"/>
    <w:next w:val="1"/>
    <w:rsid w:val="00060551"/>
    <w:pPr>
      <w:tabs>
        <w:tab w:val="left" w:pos="216"/>
      </w:tabs>
      <w:suppressAutoHyphens/>
      <w:spacing w:before="20" w:after="20" w:line="1" w:lineRule="atLeast"/>
      <w:ind w:leftChars="-1" w:left="-1" w:hangingChars="1" w:hanging="1"/>
      <w:textDirection w:val="btLr"/>
      <w:textAlignment w:val="top"/>
      <w:outlineLvl w:val="0"/>
    </w:pPr>
    <w:rPr>
      <w:rFonts w:ascii="Arial" w:eastAsia="ヒラギノ角ゴ Pro W3" w:hAnsi="Arial"/>
      <w:color w:val="000000"/>
      <w:position w:val="-1"/>
      <w:sz w:val="18"/>
      <w:lang w:val="en-US"/>
    </w:rPr>
  </w:style>
  <w:style w:type="paragraph" w:customStyle="1" w:styleId="CVNormal">
    <w:name w:val="CV Normal"/>
    <w:rsid w:val="00060551"/>
    <w:pPr>
      <w:spacing w:line="1" w:lineRule="atLeast"/>
      <w:ind w:leftChars="-1" w:left="113" w:right="113" w:hangingChars="1" w:hanging="1"/>
      <w:textDirection w:val="btLr"/>
      <w:textAlignment w:val="top"/>
      <w:outlineLvl w:val="0"/>
    </w:pPr>
    <w:rPr>
      <w:rFonts w:ascii="Arial Narrow" w:eastAsia="ヒラギノ角ゴ Pro W3" w:hAnsi="Arial Narrow"/>
      <w:color w:val="000000"/>
      <w:position w:val="-1"/>
      <w:lang w:val="en-US"/>
    </w:rPr>
  </w:style>
  <w:style w:type="paragraph" w:customStyle="1" w:styleId="ListParagraph1">
    <w:name w:val="List Paragraph1"/>
    <w:rsid w:val="00060551"/>
    <w:pPr>
      <w:suppressAutoHyphens/>
      <w:spacing w:after="160" w:line="259" w:lineRule="auto"/>
      <w:ind w:leftChars="-1" w:left="720" w:hangingChars="1" w:hanging="1"/>
      <w:textDirection w:val="btLr"/>
      <w:textAlignment w:val="top"/>
      <w:outlineLvl w:val="0"/>
    </w:pPr>
    <w:rPr>
      <w:rFonts w:ascii="System Font" w:eastAsia="ヒラギノ角ゴ Pro W3" w:hAnsi="System Font"/>
      <w:color w:val="000000"/>
      <w:position w:val="-1"/>
      <w:sz w:val="22"/>
      <w:lang w:val="en-US"/>
    </w:rPr>
  </w:style>
  <w:style w:type="character" w:styleId="a7">
    <w:name w:val="footnote reference"/>
    <w:rsid w:val="00060551"/>
    <w:rPr>
      <w:color w:val="000000"/>
      <w:w w:val="100"/>
      <w:position w:val="-1"/>
      <w:sz w:val="22"/>
      <w:effect w:val="none"/>
      <w:vertAlign w:val="superscript"/>
      <w:cs w:val="0"/>
      <w:em w:val="none"/>
    </w:rPr>
  </w:style>
  <w:style w:type="paragraph" w:styleId="a8">
    <w:name w:val="footnote text"/>
    <w:rsid w:val="00060551"/>
    <w:pPr>
      <w:suppressAutoHyphens/>
      <w:spacing w:line="1" w:lineRule="atLeast"/>
      <w:ind w:leftChars="-1" w:left="-1" w:hangingChars="1" w:hanging="1"/>
      <w:textDirection w:val="btLr"/>
      <w:textAlignment w:val="top"/>
      <w:outlineLvl w:val="0"/>
    </w:pPr>
    <w:rPr>
      <w:rFonts w:ascii="System Font" w:eastAsia="ヒラギノ角ゴ Pro W3" w:hAnsi="System Font"/>
      <w:color w:val="000000"/>
      <w:position w:val="-1"/>
    </w:rPr>
  </w:style>
  <w:style w:type="paragraph" w:customStyle="1" w:styleId="13">
    <w:name w:val="Текст у виносці1"/>
    <w:basedOn w:val="1"/>
    <w:rsid w:val="00060551"/>
    <w:pPr>
      <w:spacing w:line="240" w:lineRule="auto"/>
    </w:pPr>
    <w:rPr>
      <w:rFonts w:ascii="Segoe UI" w:hAnsi="Segoe UI" w:cs="Segoe UI"/>
      <w:sz w:val="18"/>
      <w:szCs w:val="18"/>
    </w:rPr>
  </w:style>
  <w:style w:type="character" w:customStyle="1" w:styleId="a9">
    <w:name w:val="Текст у виносці Знак"/>
    <w:rsid w:val="00060551"/>
    <w:rPr>
      <w:rFonts w:ascii="Segoe UI" w:eastAsia="ヒラギノ角ゴ Pro W3" w:hAnsi="Segoe UI" w:cs="Segoe UI"/>
      <w:color w:val="000000"/>
      <w:w w:val="100"/>
      <w:position w:val="-1"/>
      <w:sz w:val="18"/>
      <w:szCs w:val="18"/>
      <w:effect w:val="none"/>
      <w:vertAlign w:val="baseline"/>
      <w:cs w:val="0"/>
      <w:em w:val="none"/>
      <w:lang w:val="en-GB" w:eastAsia="en-US"/>
    </w:rPr>
  </w:style>
  <w:style w:type="character" w:customStyle="1" w:styleId="14">
    <w:name w:val="Гіперпосилання1"/>
    <w:rsid w:val="00060551"/>
    <w:rPr>
      <w:color w:val="0563C1"/>
      <w:w w:val="100"/>
      <w:position w:val="-1"/>
      <w:u w:val="single"/>
      <w:effect w:val="none"/>
      <w:vertAlign w:val="baseline"/>
      <w:cs w:val="0"/>
      <w:em w:val="none"/>
    </w:rPr>
  </w:style>
  <w:style w:type="paragraph" w:customStyle="1" w:styleId="BulletPointsListeParagrafLlistaNivell1Listadenivel1ParagraphedelistePBLHNormalbullet2GraphTabletiteTableofcontentsnumberedBulletlistBulletListParagraphLevel1BulletnumberedBulletListFooterText">
    <w:name w:val="Абзац списку;Bullet Points;Liste Paragraf;Llista Nivell1;Lista de nivel 1;Paragraphe de liste PBLH;Normal bullet 2;Graph &amp; Table tite;Table of contents numbered;Bullet list;Bullet List Paragraph;Level 1 Bullet;numbered;Bullet List;FooterText;列出段落"/>
    <w:basedOn w:val="1"/>
    <w:rsid w:val="00060551"/>
    <w:pPr>
      <w:spacing w:after="160" w:line="259" w:lineRule="auto"/>
      <w:ind w:left="720"/>
      <w:contextualSpacing/>
    </w:pPr>
    <w:rPr>
      <w:color w:val="auto"/>
      <w:lang w:val="uk-UA"/>
    </w:rPr>
  </w:style>
  <w:style w:type="character" w:customStyle="1" w:styleId="BulletPointsListeParagrafLlistaNivell1Listadenivel1ParagraphedelistePBLHNormalbullet2GraphTabletiteTableofcontentsnumberedBulletlistBulletListParagraph">
    <w:name w:val="Абзац списку Знак;Bullet Points Знак;Liste Paragraf Знак;Llista Nivell1 Знак;Lista de nivel 1 Знак;Paragraphe de liste PBLH Знак;Normal bullet 2 Знак;Graph &amp; Table tite Знак;Table of contents numbered Знак;Bullet list Знак;Bullet List Paragraph Знак"/>
    <w:rsid w:val="00060551"/>
    <w:rPr>
      <w:rFonts w:ascii="Calibri" w:eastAsia="Calibri" w:hAnsi="Calibri"/>
      <w:w w:val="100"/>
      <w:position w:val="-1"/>
      <w:sz w:val="22"/>
      <w:szCs w:val="22"/>
      <w:effect w:val="none"/>
      <w:vertAlign w:val="baseline"/>
      <w:cs w:val="0"/>
      <w:em w:val="none"/>
      <w:lang w:eastAsia="en-US"/>
    </w:rPr>
  </w:style>
  <w:style w:type="paragraph" w:customStyle="1" w:styleId="15">
    <w:name w:val="Верхній колонтитул1"/>
    <w:basedOn w:val="1"/>
    <w:rsid w:val="00060551"/>
    <w:pPr>
      <w:tabs>
        <w:tab w:val="center" w:pos="4677"/>
        <w:tab w:val="right" w:pos="9355"/>
      </w:tabs>
    </w:pPr>
  </w:style>
  <w:style w:type="character" w:customStyle="1" w:styleId="aa">
    <w:name w:val="Верхній колонтитул Знак"/>
    <w:rsid w:val="00060551"/>
    <w:rPr>
      <w:rFonts w:ascii="Arial" w:eastAsia="ヒラギノ角ゴ Pro W3" w:hAnsi="Arial" w:cs="Arial"/>
      <w:bCs/>
      <w:color w:val="000000"/>
      <w:w w:val="100"/>
      <w:position w:val="-1"/>
      <w:sz w:val="24"/>
      <w:szCs w:val="22"/>
      <w:effect w:val="none"/>
      <w:vertAlign w:val="baseline"/>
      <w:cs w:val="0"/>
      <w:em w:val="none"/>
      <w:lang w:eastAsia="en-US"/>
    </w:rPr>
  </w:style>
  <w:style w:type="paragraph" w:customStyle="1" w:styleId="16">
    <w:name w:val="Нижній колонтитул1"/>
    <w:basedOn w:val="1"/>
    <w:rsid w:val="00060551"/>
    <w:pPr>
      <w:tabs>
        <w:tab w:val="center" w:pos="4677"/>
        <w:tab w:val="right" w:pos="9355"/>
      </w:tabs>
    </w:pPr>
  </w:style>
  <w:style w:type="character" w:customStyle="1" w:styleId="ab">
    <w:name w:val="Нижній колонтитул Знак"/>
    <w:rsid w:val="00060551"/>
    <w:rPr>
      <w:rFonts w:ascii="Arial" w:eastAsia="ヒラギノ角ゴ Pro W3" w:hAnsi="Arial" w:cs="Arial"/>
      <w:bCs/>
      <w:color w:val="000000"/>
      <w:w w:val="100"/>
      <w:position w:val="-1"/>
      <w:sz w:val="24"/>
      <w:szCs w:val="22"/>
      <w:effect w:val="none"/>
      <w:vertAlign w:val="baseline"/>
      <w:cs w:val="0"/>
      <w:em w:val="none"/>
      <w:lang w:eastAsia="en-US"/>
    </w:rPr>
  </w:style>
  <w:style w:type="character" w:customStyle="1" w:styleId="17">
    <w:name w:val="Знак примітки1"/>
    <w:rsid w:val="00060551"/>
    <w:rPr>
      <w:w w:val="100"/>
      <w:position w:val="-1"/>
      <w:sz w:val="16"/>
      <w:szCs w:val="16"/>
      <w:effect w:val="none"/>
      <w:vertAlign w:val="baseline"/>
      <w:cs w:val="0"/>
      <w:em w:val="none"/>
    </w:rPr>
  </w:style>
  <w:style w:type="paragraph" w:customStyle="1" w:styleId="18">
    <w:name w:val="Текст примітки1"/>
    <w:basedOn w:val="1"/>
    <w:rsid w:val="00060551"/>
    <w:rPr>
      <w:sz w:val="20"/>
      <w:szCs w:val="20"/>
    </w:rPr>
  </w:style>
  <w:style w:type="character" w:customStyle="1" w:styleId="ac">
    <w:name w:val="Текст примітки Знак"/>
    <w:rsid w:val="00060551"/>
    <w:rPr>
      <w:rFonts w:ascii="Arial" w:eastAsia="ヒラギノ角ゴ Pro W3" w:hAnsi="Arial" w:cs="Arial"/>
      <w:bCs/>
      <w:color w:val="000000"/>
      <w:w w:val="100"/>
      <w:position w:val="-1"/>
      <w:effect w:val="none"/>
      <w:vertAlign w:val="baseline"/>
      <w:cs w:val="0"/>
      <w:em w:val="none"/>
      <w:lang w:val="en-GB" w:eastAsia="en-US"/>
    </w:rPr>
  </w:style>
  <w:style w:type="paragraph" w:customStyle="1" w:styleId="19">
    <w:name w:val="Тема примітки1"/>
    <w:basedOn w:val="18"/>
    <w:next w:val="18"/>
    <w:rsid w:val="00060551"/>
    <w:rPr>
      <w:b/>
    </w:rPr>
  </w:style>
  <w:style w:type="character" w:customStyle="1" w:styleId="ad">
    <w:name w:val="Тема примітки Знак"/>
    <w:rsid w:val="00060551"/>
    <w:rPr>
      <w:rFonts w:ascii="Arial" w:eastAsia="ヒラギノ角ゴ Pro W3" w:hAnsi="Arial" w:cs="Arial"/>
      <w:b/>
      <w:bCs/>
      <w:color w:val="000000"/>
      <w:w w:val="100"/>
      <w:position w:val="-1"/>
      <w:effect w:val="none"/>
      <w:vertAlign w:val="baseline"/>
      <w:cs w:val="0"/>
      <w:em w:val="none"/>
      <w:lang w:val="en-GB" w:eastAsia="en-US"/>
    </w:rPr>
  </w:style>
  <w:style w:type="character" w:customStyle="1" w:styleId="1a">
    <w:name w:val="Незакрита згадка1"/>
    <w:qFormat/>
    <w:rsid w:val="00060551"/>
    <w:rPr>
      <w:color w:val="605E5C"/>
      <w:w w:val="100"/>
      <w:position w:val="-1"/>
      <w:effect w:val="none"/>
      <w:shd w:val="clear" w:color="auto" w:fill="E1DFDD"/>
      <w:vertAlign w:val="baseline"/>
      <w:cs w:val="0"/>
      <w:em w:val="none"/>
    </w:rPr>
  </w:style>
  <w:style w:type="paragraph" w:styleId="ae">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af">
    <w:name w:val="Normal (Web)"/>
    <w:basedOn w:val="a"/>
    <w:uiPriority w:val="99"/>
    <w:unhideWhenUsed/>
    <w:rsid w:val="00F64790"/>
    <w:pPr>
      <w:spacing w:before="100" w:beforeAutospacing="1" w:after="100" w:afterAutospacing="1"/>
    </w:pPr>
    <w:rPr>
      <w:sz w:val="24"/>
      <w:szCs w:val="24"/>
    </w:rPr>
  </w:style>
  <w:style w:type="paragraph" w:styleId="af0">
    <w:name w:val="List Paragraph"/>
    <w:basedOn w:val="a"/>
    <w:uiPriority w:val="34"/>
    <w:qFormat/>
    <w:rsid w:val="0005347E"/>
    <w:pPr>
      <w:ind w:left="720"/>
      <w:contextualSpacing/>
    </w:pPr>
  </w:style>
  <w:style w:type="paragraph" w:styleId="af1">
    <w:name w:val="header"/>
    <w:basedOn w:val="a"/>
    <w:link w:val="1b"/>
    <w:uiPriority w:val="99"/>
    <w:unhideWhenUsed/>
    <w:rsid w:val="00F53502"/>
    <w:pPr>
      <w:tabs>
        <w:tab w:val="center" w:pos="4513"/>
        <w:tab w:val="right" w:pos="9026"/>
      </w:tabs>
    </w:pPr>
  </w:style>
  <w:style w:type="character" w:customStyle="1" w:styleId="1b">
    <w:name w:val="Верхній колонтитул Знак1"/>
    <w:basedOn w:val="a0"/>
    <w:link w:val="af1"/>
    <w:uiPriority w:val="99"/>
    <w:rsid w:val="00F53502"/>
  </w:style>
  <w:style w:type="paragraph" w:styleId="af2">
    <w:name w:val="footer"/>
    <w:basedOn w:val="a"/>
    <w:link w:val="1c"/>
    <w:uiPriority w:val="99"/>
    <w:unhideWhenUsed/>
    <w:rsid w:val="00F53502"/>
    <w:pPr>
      <w:tabs>
        <w:tab w:val="center" w:pos="4513"/>
        <w:tab w:val="right" w:pos="9026"/>
      </w:tabs>
    </w:pPr>
  </w:style>
  <w:style w:type="character" w:customStyle="1" w:styleId="1c">
    <w:name w:val="Нижній колонтитул Знак1"/>
    <w:basedOn w:val="a0"/>
    <w:link w:val="af2"/>
    <w:uiPriority w:val="99"/>
    <w:rsid w:val="00F53502"/>
  </w:style>
  <w:style w:type="character" w:styleId="af3">
    <w:name w:val="Hyperlink"/>
    <w:rsid w:val="004C7627"/>
    <w:rPr>
      <w:color w:val="0563C1"/>
      <w:u w:val="single"/>
    </w:rPr>
  </w:style>
  <w:style w:type="paragraph" w:styleId="af4">
    <w:name w:val="Balloon Text"/>
    <w:basedOn w:val="a"/>
    <w:link w:val="1d"/>
    <w:uiPriority w:val="99"/>
    <w:semiHidden/>
    <w:unhideWhenUsed/>
    <w:rsid w:val="00293D9B"/>
    <w:rPr>
      <w:rFonts w:ascii="Tahoma" w:hAnsi="Tahoma" w:cs="Tahoma"/>
      <w:sz w:val="16"/>
      <w:szCs w:val="16"/>
    </w:rPr>
  </w:style>
  <w:style w:type="character" w:customStyle="1" w:styleId="1d">
    <w:name w:val="Текст у виносці Знак1"/>
    <w:basedOn w:val="a0"/>
    <w:link w:val="af4"/>
    <w:uiPriority w:val="99"/>
    <w:semiHidden/>
    <w:rsid w:val="00293D9B"/>
    <w:rPr>
      <w:rFonts w:ascii="Tahoma" w:hAnsi="Tahoma" w:cs="Tahoma"/>
      <w:sz w:val="16"/>
      <w:szCs w:val="16"/>
    </w:rPr>
  </w:style>
  <w:style w:type="character" w:styleId="af5">
    <w:name w:val="annotation reference"/>
    <w:basedOn w:val="a0"/>
    <w:uiPriority w:val="99"/>
    <w:semiHidden/>
    <w:unhideWhenUsed/>
    <w:rsid w:val="00386C92"/>
    <w:rPr>
      <w:sz w:val="16"/>
      <w:szCs w:val="16"/>
    </w:rPr>
  </w:style>
  <w:style w:type="paragraph" w:styleId="af6">
    <w:name w:val="annotation text"/>
    <w:basedOn w:val="a"/>
    <w:link w:val="1e"/>
    <w:uiPriority w:val="99"/>
    <w:unhideWhenUsed/>
    <w:rsid w:val="00386C92"/>
  </w:style>
  <w:style w:type="character" w:customStyle="1" w:styleId="1e">
    <w:name w:val="Текст примітки Знак1"/>
    <w:basedOn w:val="a0"/>
    <w:link w:val="af6"/>
    <w:uiPriority w:val="99"/>
    <w:rsid w:val="00386C92"/>
  </w:style>
  <w:style w:type="paragraph" w:styleId="af7">
    <w:name w:val="annotation subject"/>
    <w:basedOn w:val="af6"/>
    <w:next w:val="af6"/>
    <w:link w:val="1f"/>
    <w:uiPriority w:val="99"/>
    <w:semiHidden/>
    <w:unhideWhenUsed/>
    <w:rsid w:val="00386C92"/>
    <w:rPr>
      <w:b/>
      <w:bCs/>
    </w:rPr>
  </w:style>
  <w:style w:type="character" w:customStyle="1" w:styleId="1f">
    <w:name w:val="Тема примітки Знак1"/>
    <w:basedOn w:val="1e"/>
    <w:link w:val="af7"/>
    <w:uiPriority w:val="99"/>
    <w:semiHidden/>
    <w:rsid w:val="00386C92"/>
    <w:rPr>
      <w:b/>
      <w:bCs/>
    </w:rPr>
  </w:style>
  <w:style w:type="paragraph" w:styleId="af8">
    <w:name w:val="Revision"/>
    <w:hidden/>
    <w:uiPriority w:val="99"/>
    <w:semiHidden/>
    <w:rsid w:val="008A2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ODXYeu-AzOiuYHO66DIJD_6IBPs6sS_KIuRuLmncLTc/e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document/d/1Wu9a3phrp3da4e02GjZ5pdHTDjgq8d9p/e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lc.org.u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UO75eIwj+ZSaLKgmY6RIlVTmOA==">CgMxLjAyCGguZ2pkZ3hzMgloLjMwajB6bGwyDmguZ2RjbGZqNnU5cXFrMg5oLmQ4dDgxNGhlNHFhdDIJaC4xZm9iOXRlOABqSgo1c3VnZ2VzdElkSW1wb3J0ZjJhMzQ0NDYtNDlmOS00MTM5LTk4NDAtZjNhZjI0OThhOTk2XzISEUFuYXN0YXNpaWEgTGlzb3ZhakoKNXN1Z2dlc3RJZEltcG9ydGYyYTM0NDQ2LTQ5ZjktNDEzOS05ODQwLWYzYWYyNDk4YTk5Nl8xEhFBbmFzdGFzaWlhIExpc292YXIhMUZDZXZESFk5dW55bk84VVBYMWM3cnVrS3YxZGJSUW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954</Words>
  <Characters>6848</Characters>
  <Application>Microsoft Office Word</Application>
  <DocSecurity>0</DocSecurity>
  <Lines>145</Lines>
  <Paragraphs>85</Paragraphs>
  <ScaleCrop>false</ScaleCrop>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total_2</dc:creator>
  <cp:lastModifiedBy>Viktoriia Ostapchenko</cp:lastModifiedBy>
  <cp:revision>2</cp:revision>
  <dcterms:created xsi:type="dcterms:W3CDTF">2025-02-05T12:17:00Z</dcterms:created>
  <dcterms:modified xsi:type="dcterms:W3CDTF">2025-02-05T12:17:00Z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86c5fe1a-67ce-457e-be79-5b1ab54f06d7</vt:lpwstr>
  </property>
  <property fmtid="{D5CDD505-2E9C-101B-9397-08002B2CF9AE}" pid="3" name="bjSaver">
    <vt:lpwstr>jNVazOmbWstbFCE5y2QVOLvhavx6YHsz</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PERSONAL</vt:lpwstr>
  </property>
  <property fmtid="{D5CDD505-2E9C-101B-9397-08002B2CF9AE}" pid="7" name="ClassificationContentMarkingHeaderShapeIds">
    <vt:lpwstr>1,2,3,5e80d629,70be52c1,4616e5b0</vt:lpwstr>
  </property>
  <property fmtid="{D5CDD505-2E9C-101B-9397-08002B2CF9AE}" pid="8" name="ClassificationContentMarkingHeaderFontProps">
    <vt:lpwstr>#0000ff,10,Calibri</vt:lpwstr>
  </property>
  <property fmtid="{D5CDD505-2E9C-101B-9397-08002B2CF9AE}" pid="9" name="ClassificationContentMarkingHeaderText">
    <vt:lpwstr>OFFICIAL USE</vt:lpwstr>
  </property>
  <property fmtid="{D5CDD505-2E9C-101B-9397-08002B2CF9AE}" pid="10" name="ClassificationContentMarkingFooterShapeIds">
    <vt:lpwstr>4,5,6,4174173e,33832038,27098eb5</vt:lpwstr>
  </property>
  <property fmtid="{D5CDD505-2E9C-101B-9397-08002B2CF9AE}" pid="11" name="ClassificationContentMarkingFooterFontProps">
    <vt:lpwstr>#0000ff,10,Calibri</vt:lpwstr>
  </property>
  <property fmtid="{D5CDD505-2E9C-101B-9397-08002B2CF9AE}" pid="12" name="ClassificationContentMarkingFooterText">
    <vt:lpwstr>OFFICIAL USE</vt:lpwstr>
  </property>
</Properties>
</file>