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1B91" w:rsidRDefault="00541B91">
      <w:pPr>
        <w:spacing w:line="240" w:lineRule="auto"/>
        <w:rPr>
          <w:rFonts w:ascii="Times New Roman" w:eastAsia="Times New Roman" w:hAnsi="Times New Roman" w:cs="Times New Roman"/>
          <w:sz w:val="24"/>
          <w:szCs w:val="24"/>
        </w:rPr>
      </w:pPr>
    </w:p>
    <w:p w:rsidR="00541B91" w:rsidRDefault="0000000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OF REFERENCE</w:t>
      </w:r>
    </w:p>
    <w:p w:rsidR="00541B91" w:rsidRDefault="00541B91">
      <w:pPr>
        <w:spacing w:line="240" w:lineRule="auto"/>
        <w:jc w:val="center"/>
        <w:rPr>
          <w:rFonts w:ascii="Times New Roman" w:eastAsia="Times New Roman" w:hAnsi="Times New Roman" w:cs="Times New Roman"/>
          <w:b/>
          <w:sz w:val="24"/>
          <w:szCs w:val="24"/>
        </w:rPr>
      </w:pPr>
    </w:p>
    <w:p w:rsidR="00541B9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Expert for the Nomination Committee</w:t>
      </w:r>
    </w:p>
    <w:p w:rsidR="00541B91" w:rsidRDefault="00541B91">
      <w:pPr>
        <w:spacing w:line="240" w:lineRule="auto"/>
        <w:jc w:val="center"/>
        <w:rPr>
          <w:rFonts w:ascii="Times New Roman" w:eastAsia="Times New Roman" w:hAnsi="Times New Roman" w:cs="Times New Roman"/>
          <w:b/>
          <w:sz w:val="24"/>
          <w:szCs w:val="24"/>
        </w:rPr>
      </w:pPr>
    </w:p>
    <w:p w:rsidR="00541B9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(Category 2) </w:t>
      </w:r>
    </w:p>
    <w:p w:rsidR="00541B91" w:rsidRDefault="00541B91">
      <w:pPr>
        <w:rPr>
          <w:rFonts w:ascii="Times New Roman" w:eastAsia="Times New Roman" w:hAnsi="Times New Roman" w:cs="Times New Roman"/>
          <w:sz w:val="24"/>
          <w:szCs w:val="24"/>
        </w:rPr>
      </w:pPr>
    </w:p>
    <w:p w:rsidR="00541B91"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Objective(s) and linkages to reforms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Recovery and Reform Support Team (</w:t>
      </w:r>
      <w:r>
        <w:rPr>
          <w:rFonts w:ascii="Times New Roman" w:eastAsia="Times New Roman" w:hAnsi="Times New Roman" w:cs="Times New Roman"/>
          <w:b/>
          <w:sz w:val="24"/>
          <w:szCs w:val="24"/>
        </w:rPr>
        <w:t>RST</w:t>
      </w:r>
      <w:r>
        <w:rPr>
          <w:rFonts w:ascii="Times New Roman" w:eastAsia="Times New Roman" w:hAnsi="Times New Roman" w:cs="Times New Roman"/>
          <w:sz w:val="24"/>
          <w:szCs w:val="24"/>
        </w:rPr>
        <w:t>) at the Ministry of Economy of Ukraine (</w:t>
      </w:r>
      <w:r>
        <w:rPr>
          <w:rFonts w:ascii="Times New Roman" w:eastAsia="Times New Roman" w:hAnsi="Times New Roman" w:cs="Times New Roman"/>
          <w:b/>
          <w:sz w:val="24"/>
          <w:szCs w:val="24"/>
        </w:rPr>
        <w:t>Ministry</w:t>
      </w:r>
      <w:r>
        <w:rPr>
          <w:rFonts w:ascii="Times New Roman" w:eastAsia="Times New Roman" w:hAnsi="Times New Roman" w:cs="Times New Roman"/>
          <w:sz w:val="24"/>
          <w:szCs w:val="24"/>
        </w:rPr>
        <w:t>) is a group of Ukrainian professionals (non-civil servants) funded on a temporary basis through the Ukraine Recovery and Reform Architecture (URA)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 </w:t>
      </w: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Russian full-scale invasion, the Ukrainian government initiated a reform of the state-owned enterprises. The ongoing reform process aims to create efficient and transparent companies, which will protect the rights of the owner, establish an effective system of internal controls, eliminate political influence, and create a level playing field with commercial companies in the market in compliance with the principles of corporate governance set out by the Organization for Economic Cooperation and Development (OECD).</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Supervisory boards are one of the important pillars of the reform. The adoption and entry into force of the new law on corporate governance of SOEs in line with OECD Guidelines on Corporate Governance of SOEs, defined the powers of SOEs’ supervisory boards to appoint and dismiss CEOs, to approve the strategic, investment and financial documents of SOEs. The law also established an annual evaluation procedure for the activities of supervisory boards of SOEs.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is planning to appoint supervisory boards with a majority of independent members for at least 15 SOEs from the list of top key SOEs approved by the Cabinet of Ministers protocol decision by Q2 2026. The process is based on the competitive selection framework.</w:t>
      </w:r>
    </w:p>
    <w:p w:rsidR="00541B91" w:rsidRDefault="00541B91">
      <w:pPr>
        <w:spacing w:line="240" w:lineRule="auto"/>
        <w:jc w:val="both"/>
        <w:rPr>
          <w:rFonts w:ascii="Times New Roman" w:eastAsia="Times New Roman" w:hAnsi="Times New Roman" w:cs="Times New Roman"/>
          <w:sz w:val="24"/>
          <w:szCs w:val="24"/>
        </w:rPr>
      </w:pPr>
    </w:p>
    <w:p w:rsidR="00541B91" w:rsidRDefault="00541B91">
      <w:pPr>
        <w:spacing w:line="240" w:lineRule="auto"/>
        <w:jc w:val="both"/>
        <w:rPr>
          <w:rFonts w:ascii="Times New Roman" w:eastAsia="Times New Roman" w:hAnsi="Times New Roman" w:cs="Times New Roman"/>
          <w:sz w:val="24"/>
          <w:szCs w:val="24"/>
        </w:rPr>
      </w:pPr>
    </w:p>
    <w:p w:rsidR="00541B91"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Position and reporting line</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assignment will be a full-time consultancy position in the RST at the Ministry of Economy of Ukraine. The consultant is expected to be based in Kyiv (subject to the Ministry's staff's security rules). The expert will report to the Senior Project Manager, leader of the SOEs and Corporate governance reform. The consultant will also collaborate with other RST team members and may be assigned to support additional reform areas depending on the Ministry's effective needs.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b/>
          <w:sz w:val="24"/>
          <w:szCs w:val="24"/>
        </w:rPr>
        <w:tab/>
        <w:t>Duration and proposed timeframe</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consultancy assignment is expected to start in October 2024 and has an estimated duration till December 2025. The assignment may be subsequently continued subject to the availability of funding, the consultant’s performance, and the specific needs of the RST. The probation period is three months.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Main duties and responsibilities</w:t>
      </w:r>
    </w:p>
    <w:p w:rsidR="00541B91" w:rsidRDefault="00000000">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consultant will primarily focus on supporting the nomination process for SOE supervisory boards but will also be available for broader tasks based on the Ministry's requirements. The responsibilities include:</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the Nomination Committee to define and update selection criteria for supervisory board members and other roles as needed</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 and refine the requirements for candidates, announcements on the competitive selection of a member of the supervisory board, ensuring they align with the strategic goals and standards of the SOEs.</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propose improvements to the draft announcements for CEO and supervisory board positions, ensuring clarity, accuracy, and compliance with legal and policy requirements.</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 in development and maintenance of tracking matrices for the nomination process.</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facilitate a comprehensive assessment of the state of nomination process. Cooperate with consortium engaged by the EBRD tasked with optimising of the Nomination Committee's recruitment processes.</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collect proposals for improving the committee’s process and related legislation, prepare the terms of reference for the legal expert on respective changes in the CMU order.</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conceptual notes, talking points, reports, and other documentation related to the nomination process and broader reform efforts.</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the preparation of analytics in nomination process.</w:t>
      </w:r>
    </w:p>
    <w:p w:rsidR="00541B91" w:rsidRDefault="00000000">
      <w:pPr>
        <w:numPr>
          <w:ilvl w:val="0"/>
          <w:numId w:val="5"/>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organizational and logistical support for events, roundtables, conferences, and forums related to corporate governance reform and other Ministry priorities.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tabs>
          <w:tab w:val="left" w:pos="3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deliverables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Expert will be expected to provide the following deliverables: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numPr>
          <w:ilvl w:val="0"/>
          <w:numId w:val="4"/>
        </w:numPr>
        <w:tabs>
          <w:tab w:val="left" w:pos="19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draft working documents used in the nomination process upon the request of the Ministry.</w:t>
      </w:r>
    </w:p>
    <w:p w:rsidR="00541B91" w:rsidRDefault="00000000">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 notes, brief summaries, talking points, ad-hoc reports etc. regarding certain issues and stages of the nomination process.</w:t>
      </w:r>
    </w:p>
    <w:p w:rsidR="00541B91" w:rsidRDefault="00000000">
      <w:pPr>
        <w:numPr>
          <w:ilvl w:val="0"/>
          <w:numId w:val="4"/>
        </w:numPr>
        <w:tabs>
          <w:tab w:val="left" w:pos="720"/>
        </w:tabs>
        <w:spacing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monthly working progress reports on the ongoing nomination process activities for the Deputy Minister of Economy.</w:t>
      </w:r>
    </w:p>
    <w:p w:rsidR="00541B91" w:rsidRDefault="00000000">
      <w:pPr>
        <w:numPr>
          <w:ilvl w:val="0"/>
          <w:numId w:val="4"/>
        </w:numPr>
        <w:spacing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updates of databases, data tables and charts for ongoing statuses, analysis, and tracking progress for the Deputy Minister of Economy.</w:t>
      </w:r>
    </w:p>
    <w:p w:rsidR="00541B91" w:rsidRDefault="00000000">
      <w:pPr>
        <w:numPr>
          <w:ilvl w:val="0"/>
          <w:numId w:val="4"/>
        </w:numPr>
        <w:tabs>
          <w:tab w:val="left" w:pos="720"/>
        </w:tabs>
        <w:spacing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quarterly internal reports on RST progress, on the nomination process, challenges, and achievements in it.</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specified lists of scope of work, services and expected deliverables can be modified and supplemented on request from the Ministry.</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tabs>
          <w:tab w:val="left" w:pos="3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Qualifications, skills and experience</w:t>
      </w:r>
    </w:p>
    <w:p w:rsidR="00541B91" w:rsidRDefault="00541B91">
      <w:pPr>
        <w:spacing w:line="240" w:lineRule="auto"/>
        <w:jc w:val="both"/>
        <w:rPr>
          <w:rFonts w:ascii="Times New Roman" w:eastAsia="Times New Roman" w:hAnsi="Times New Roman" w:cs="Times New Roman"/>
          <w:b/>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Qualifications and skills</w:t>
      </w:r>
      <w:r>
        <w:rPr>
          <w:rFonts w:ascii="Times New Roman" w:eastAsia="Times New Roman" w:hAnsi="Times New Roman" w:cs="Times New Roman"/>
          <w:sz w:val="24"/>
          <w:szCs w:val="24"/>
        </w:rPr>
        <w:t>:</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numPr>
          <w:ilvl w:val="0"/>
          <w:numId w:val="1"/>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in Human Resources management, Economics, Law, Management, Public Policy or other related fields;</w:t>
      </w:r>
    </w:p>
    <w:p w:rsidR="00541B91" w:rsidRDefault="00000000">
      <w:pPr>
        <w:numPr>
          <w:ilvl w:val="0"/>
          <w:numId w:val="1"/>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strong analytical, data processing and prioritisation skills.</w:t>
      </w:r>
    </w:p>
    <w:p w:rsidR="00541B91" w:rsidRDefault="00000000">
      <w:pPr>
        <w:numPr>
          <w:ilvl w:val="0"/>
          <w:numId w:val="1"/>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verbal and written communication and presentation skills.</w:t>
      </w:r>
    </w:p>
    <w:p w:rsidR="00541B91" w:rsidRDefault="00000000">
      <w:pPr>
        <w:numPr>
          <w:ilvl w:val="0"/>
          <w:numId w:val="1"/>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level of PC literacy (PowerPoint, Project, Excel, Word).</w:t>
      </w:r>
    </w:p>
    <w:p w:rsidR="00541B91" w:rsidRDefault="00000000">
      <w:pPr>
        <w:numPr>
          <w:ilvl w:val="0"/>
          <w:numId w:val="1"/>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fluency in Ukrainian and English.</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Professional experience:</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5 years of general professional experience (working for international organisations and/or international technical assistance projects would be an advantage), of which:</w:t>
      </w:r>
    </w:p>
    <w:p w:rsidR="00541B91" w:rsidRDefault="00000000">
      <w:pPr>
        <w:numPr>
          <w:ilvl w:val="0"/>
          <w:numId w:val="3"/>
        </w:numPr>
        <w:tabs>
          <w:tab w:val="left" w:pos="720"/>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3 years of proven data analyst or human resources management experience.</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Other competencies: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numPr>
          <w:ilvl w:val="0"/>
          <w:numId w:val="2"/>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Proven knowledge and professional experience in human recourse management and executive recruitment, strategic planning and project management. </w:t>
      </w:r>
    </w:p>
    <w:p w:rsidR="00541B91" w:rsidRDefault="00000000">
      <w:pPr>
        <w:numPr>
          <w:ilvl w:val="0"/>
          <w:numId w:val="2"/>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experience working for international companies/organisations. </w:t>
      </w:r>
    </w:p>
    <w:p w:rsidR="00541B91" w:rsidRDefault="00000000">
      <w:pPr>
        <w:numPr>
          <w:ilvl w:val="0"/>
          <w:numId w:val="2"/>
        </w:num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Ukraine’s current reform agenda, and a good understanding of policy formulation processes and policy dialogues.</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tabs>
          <w:tab w:val="left" w:pos="3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 the largest donor.</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selection and contracting will be subject to the availability of funding.</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rsidR="00541B91" w:rsidRDefault="00541B91">
      <w:pPr>
        <w:tabs>
          <w:tab w:val="left" w:pos="340"/>
        </w:tabs>
        <w:spacing w:line="240" w:lineRule="auto"/>
        <w:jc w:val="both"/>
        <w:rPr>
          <w:rFonts w:ascii="Times New Roman" w:eastAsia="Times New Roman" w:hAnsi="Times New Roman" w:cs="Times New Roman"/>
          <w:b/>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Submissions must be prepared in English only and be delivered electronically by 31 October, 23:59 (Kyiv time) to rstrecruiting2017@gmail.com. All submissions must include a completed </w:t>
      </w:r>
      <w:hyperlink r:id="rId8">
        <w:r>
          <w:rPr>
            <w:rFonts w:ascii="Times New Roman" w:eastAsia="Times New Roman" w:hAnsi="Times New Roman" w:cs="Times New Roman"/>
            <w:color w:val="0563C1"/>
            <w:sz w:val="24"/>
            <w:szCs w:val="24"/>
            <w:u w:val="single"/>
          </w:rPr>
          <w:t>Application form</w:t>
        </w:r>
      </w:hyperlink>
      <w:r>
        <w:rPr>
          <w:rFonts w:ascii="Times New Roman" w:eastAsia="Times New Roman" w:hAnsi="Times New Roman" w:cs="Times New Roman"/>
          <w:sz w:val="24"/>
          <w:szCs w:val="24"/>
        </w:rPr>
        <w:t xml:space="preserve">, </w:t>
      </w:r>
      <w:hyperlink r:id="rId9" w:anchor="heading=h.gjdgxs">
        <w:r>
          <w:rPr>
            <w:rFonts w:ascii="Times New Roman" w:eastAsia="Times New Roman" w:hAnsi="Times New Roman" w:cs="Times New Roman"/>
            <w:color w:val="0563C1"/>
            <w:sz w:val="24"/>
            <w:szCs w:val="24"/>
            <w:u w:val="single"/>
          </w:rPr>
          <w:t>NDA Form</w:t>
        </w:r>
      </w:hyperlink>
      <w:r>
        <w:rPr>
          <w:rFonts w:ascii="Times New Roman" w:eastAsia="Times New Roman" w:hAnsi="Times New Roman" w:cs="Times New Roman"/>
          <w:sz w:val="24"/>
          <w:szCs w:val="24"/>
        </w:rPr>
        <w:t xml:space="preserve">, the candidate’s Curriculum Vitae and contact details for three referees who, if contacted, can attest to the professional and/or educational background of the candidate. </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Only applications which have been submitted using the correct template and are fully completed, will be considered.</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tabs>
          <w:tab w:val="left" w:pos="34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rsidR="00541B91" w:rsidRDefault="00541B91">
      <w:pPr>
        <w:spacing w:line="240" w:lineRule="auto"/>
        <w:jc w:val="both"/>
        <w:rPr>
          <w:rFonts w:ascii="Times New Roman" w:eastAsia="Times New Roman" w:hAnsi="Times New Roman" w:cs="Times New Roman"/>
          <w:sz w:val="24"/>
          <w:szCs w:val="24"/>
        </w:rPr>
      </w:pPr>
    </w:p>
    <w:p w:rsidR="00541B91" w:rsidRDefault="00000000">
      <w:pPr>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p w:rsidR="00541B91" w:rsidRDefault="00541B91">
      <w:pPr>
        <w:spacing w:before="240" w:line="240" w:lineRule="auto"/>
        <w:jc w:val="both"/>
        <w:rPr>
          <w:b/>
        </w:rPr>
      </w:pPr>
    </w:p>
    <w:sectPr w:rsidR="00541B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232C" w:rsidRDefault="005E232C">
      <w:pPr>
        <w:spacing w:line="240" w:lineRule="auto"/>
      </w:pPr>
      <w:r>
        <w:separator/>
      </w:r>
    </w:p>
  </w:endnote>
  <w:endnote w:type="continuationSeparator" w:id="0">
    <w:p w:rsidR="005E232C" w:rsidRDefault="005E2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B91"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1312" behindDoc="0" locked="0" layoutInCell="1" hidden="0" allowOverlap="1">
              <wp:simplePos x="0" y="0"/>
              <wp:positionH relativeFrom="column">
                <wp:posOffset>1828800</wp:posOffset>
              </wp:positionH>
              <wp:positionV relativeFrom="paragraph">
                <wp:posOffset>0</wp:posOffset>
              </wp:positionV>
              <wp:extent cx="453390" cy="453390"/>
              <wp:effectExtent l="0" t="0" r="0" b="0"/>
              <wp:wrapNone/>
              <wp:docPr id="13" name="Прямокутник 13"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541B91"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FFICIAL USE" id="13" name="image1.png"/>
              <a:graphic>
                <a:graphicData uri="http://schemas.openxmlformats.org/drawingml/2006/picture">
                  <pic:pic>
                    <pic:nvPicPr>
                      <pic:cNvPr descr="OFFICIAL USE"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B91" w:rsidRDefault="00541B91">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B91" w:rsidRDefault="00000000">
    <w:pPr>
      <w:pBdr>
        <w:top w:val="nil"/>
        <w:left w:val="nil"/>
        <w:bottom w:val="nil"/>
        <w:right w:val="nil"/>
        <w:between w:val="nil"/>
      </w:pBdr>
      <w:tabs>
        <w:tab w:val="center" w:pos="4513"/>
        <w:tab w:val="right" w:pos="9026"/>
      </w:tabs>
      <w:spacing w:line="240" w:lineRule="auto"/>
      <w:rPr>
        <w:color w:val="000000"/>
      </w:rPr>
    </w:pPr>
    <w:r>
      <w:rPr>
        <w:noProof/>
      </w:rPr>
      <mc:AlternateContent>
        <mc:Choice Requires="wpg">
          <w:drawing>
            <wp:anchor distT="0" distB="0" distL="0" distR="0" simplePos="0" relativeHeight="251660288" behindDoc="0" locked="0" layoutInCell="1" hidden="0" allowOverlap="1">
              <wp:simplePos x="0" y="0"/>
              <wp:positionH relativeFrom="column">
                <wp:posOffset>1828800</wp:posOffset>
              </wp:positionH>
              <wp:positionV relativeFrom="paragraph">
                <wp:posOffset>0</wp:posOffset>
              </wp:positionV>
              <wp:extent cx="453390" cy="453390"/>
              <wp:effectExtent l="0" t="0" r="0" b="0"/>
              <wp:wrapNone/>
              <wp:docPr id="15" name="Прямокутник 15"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541B91"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FFICIAL USE" id="15" name="image3.png"/>
              <a:graphic>
                <a:graphicData uri="http://schemas.openxmlformats.org/drawingml/2006/picture">
                  <pic:pic>
                    <pic:nvPicPr>
                      <pic:cNvPr descr="OFFICIAL USE"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232C" w:rsidRDefault="005E232C">
      <w:pPr>
        <w:spacing w:line="240" w:lineRule="auto"/>
      </w:pPr>
      <w:r>
        <w:separator/>
      </w:r>
    </w:p>
  </w:footnote>
  <w:footnote w:type="continuationSeparator" w:id="0">
    <w:p w:rsidR="005E232C" w:rsidRDefault="005E232C">
      <w:pPr>
        <w:spacing w:line="240" w:lineRule="auto"/>
      </w:pPr>
      <w:r>
        <w:continuationSeparator/>
      </w:r>
    </w:p>
  </w:footnote>
  <w:footnote w:id="1">
    <w:p w:rsidR="00541B91"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B91"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59264" behindDoc="0" locked="0" layoutInCell="1" hidden="0" allowOverlap="1">
              <wp:simplePos x="0" y="0"/>
              <wp:positionH relativeFrom="page">
                <wp:align>center</wp:align>
              </wp:positionH>
              <wp:positionV relativeFrom="page">
                <wp:align>top</wp:align>
              </wp:positionV>
              <wp:extent cx="453390" cy="453390"/>
              <wp:effectExtent l="0" t="0" r="0" b="0"/>
              <wp:wrapNone/>
              <wp:docPr id="14" name="Прямокутник 14"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541B91"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USE" id="14" name="image2.png"/>
              <a:graphic>
                <a:graphicData uri="http://schemas.openxmlformats.org/drawingml/2006/picture">
                  <pic:pic>
                    <pic:nvPicPr>
                      <pic:cNvPr descr="OFFICIAL USE"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B91" w:rsidRDefault="00541B91">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B91" w:rsidRDefault="00000000">
    <w:pPr>
      <w:pBdr>
        <w:top w:val="nil"/>
        <w:left w:val="nil"/>
        <w:bottom w:val="nil"/>
        <w:right w:val="nil"/>
        <w:between w:val="nil"/>
      </w:pBdr>
      <w:tabs>
        <w:tab w:val="center" w:pos="4513"/>
        <w:tab w:val="right" w:pos="9026"/>
      </w:tabs>
      <w:spacing w:line="240" w:lineRule="auto"/>
      <w:rPr>
        <w:color w:val="000000"/>
      </w:rPr>
    </w:pPr>
    <w:r>
      <w:rPr>
        <w:noProof/>
        <w:color w:val="000000"/>
      </w:rPr>
      <mc:AlternateContent>
        <mc:Choice Requires="wpg">
          <w:drawing>
            <wp:anchor distT="0" distB="0" distL="0" distR="0" simplePos="0" relativeHeight="251658240" behindDoc="0" locked="0" layoutInCell="1" hidden="0" allowOverlap="1">
              <wp:simplePos x="0" y="0"/>
              <wp:positionH relativeFrom="page">
                <wp:align>center</wp:align>
              </wp:positionH>
              <wp:positionV relativeFrom="page">
                <wp:align>top</wp:align>
              </wp:positionV>
              <wp:extent cx="453390" cy="453390"/>
              <wp:effectExtent l="0" t="0" r="0" b="0"/>
              <wp:wrapNone/>
              <wp:docPr id="16" name="Прямокутник 16" descr="OFFICIAL US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541B91" w:rsidRDefault="00000000">
                          <w:pPr>
                            <w:spacing w:line="275" w:lineRule="auto"/>
                            <w:textDirection w:val="btLr"/>
                          </w:pPr>
                          <w:r>
                            <w:rPr>
                              <w:rFonts w:ascii="Calibri" w:eastAsia="Calibri" w:hAnsi="Calibri" w:cs="Calibri"/>
                              <w:color w:val="0000FF"/>
                              <w:sz w:val="20"/>
                            </w:rPr>
                            <w:t>OFFICIAL USE</w:t>
                          </w:r>
                        </w:p>
                      </w:txbxContent>
                    </wps:txbx>
                    <wps:bodyPr spcFirstLastPara="1" wrap="square" lIns="0" tIns="19050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OFFICIAL USE" id="16" name="image4.png"/>
              <a:graphic>
                <a:graphicData uri="http://schemas.openxmlformats.org/drawingml/2006/picture">
                  <pic:pic>
                    <pic:nvPicPr>
                      <pic:cNvPr descr="OFFICIAL USE"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7101B"/>
    <w:multiLevelType w:val="multilevel"/>
    <w:tmpl w:val="226E2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19103B"/>
    <w:multiLevelType w:val="multilevel"/>
    <w:tmpl w:val="B52E1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58438B"/>
    <w:multiLevelType w:val="multilevel"/>
    <w:tmpl w:val="F8D6C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0C20E9"/>
    <w:multiLevelType w:val="multilevel"/>
    <w:tmpl w:val="A3E64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E42815"/>
    <w:multiLevelType w:val="multilevel"/>
    <w:tmpl w:val="AD7AB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0876988">
    <w:abstractNumId w:val="0"/>
  </w:num>
  <w:num w:numId="2" w16cid:durableId="108013897">
    <w:abstractNumId w:val="1"/>
  </w:num>
  <w:num w:numId="3" w16cid:durableId="1197621056">
    <w:abstractNumId w:val="4"/>
  </w:num>
  <w:num w:numId="4" w16cid:durableId="330717510">
    <w:abstractNumId w:val="3"/>
  </w:num>
  <w:num w:numId="5" w16cid:durableId="562327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B91"/>
    <w:rsid w:val="00541B91"/>
    <w:rsid w:val="005E232C"/>
    <w:rsid w:val="00644090"/>
    <w:rsid w:val="00DF51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0EE690-690D-4CA2-89EC-C8F3F1C9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unhideWhenUsed/>
    <w:pPr>
      <w:spacing w:line="240" w:lineRule="auto"/>
    </w:pPr>
    <w:rPr>
      <w:sz w:val="20"/>
      <w:szCs w:val="20"/>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5"/>
    <w:next w:val="a5"/>
    <w:link w:val="a9"/>
    <w:uiPriority w:val="99"/>
    <w:semiHidden/>
    <w:unhideWhenUsed/>
    <w:rsid w:val="005D1C5C"/>
    <w:rPr>
      <w:b/>
      <w:bCs/>
    </w:rPr>
  </w:style>
  <w:style w:type="character" w:customStyle="1" w:styleId="a9">
    <w:name w:val="Тема примітки Знак"/>
    <w:basedOn w:val="a6"/>
    <w:link w:val="a8"/>
    <w:uiPriority w:val="99"/>
    <w:semiHidden/>
    <w:rsid w:val="005D1C5C"/>
    <w:rPr>
      <w:b/>
      <w:bCs/>
      <w:sz w:val="20"/>
      <w:szCs w:val="20"/>
    </w:rPr>
  </w:style>
  <w:style w:type="paragraph" w:styleId="aa">
    <w:name w:val="Normal (Web)"/>
    <w:basedOn w:val="a"/>
    <w:uiPriority w:val="99"/>
    <w:semiHidden/>
    <w:unhideWhenUsed/>
    <w:rsid w:val="00B15EE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ab">
    <w:name w:val="Revision"/>
    <w:hidden/>
    <w:uiPriority w:val="99"/>
    <w:semiHidden/>
    <w:rsid w:val="00B15EE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iFvdLaQ2-HoJ6dqx_Xyro9teDWmJnvlp/edit?usp=sharing&amp;ouid=116511142743250443349&amp;rtpof=true&amp;sd=tr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nZR7uhfufOwYJE5O8TXsJ-qPFwRwfi-N/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7eK9HnHYJuL1zDHsJ4G0dftHA==">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6788</Characters>
  <Application>Microsoft Office Word</Application>
  <DocSecurity>0</DocSecurity>
  <Lines>147</Lines>
  <Paragraphs>65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Viktoriia Ostapchenko</cp:lastModifiedBy>
  <cp:revision>2</cp:revision>
  <dcterms:created xsi:type="dcterms:W3CDTF">2024-10-16T12:55:00Z</dcterms:created>
  <dcterms:modified xsi:type="dcterms:W3CDTF">2024-10-16T12:55:00Z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3,7,8,9</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4,a,b,c</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ies>
</file>