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E04" w:rsidRDefault="009E09EE">
      <w:pPr>
        <w:spacing w:before="120" w:after="120" w:line="276" w:lineRule="auto"/>
        <w:jc w:val="center"/>
        <w:rPr>
          <w:rFonts w:ascii="Times New Roman" w:eastAsia="Times New Roman" w:hAnsi="Times New Roman" w:cs="Times New Roman"/>
        </w:rPr>
      </w:pPr>
      <w:r>
        <w:rPr>
          <w:rFonts w:ascii="Times New Roman" w:eastAsia="Times New Roman" w:hAnsi="Times New Roman" w:cs="Times New Roman"/>
          <w:b/>
          <w:bCs/>
        </w:rPr>
        <w:t>TERMS OF REFERENCE</w:t>
      </w:r>
    </w:p>
    <w:p w:rsidR="007E7E04" w:rsidRDefault="009E09EE">
      <w:pPr>
        <w:spacing w:before="120" w:after="120" w:line="276" w:lineRule="auto"/>
        <w:jc w:val="center"/>
        <w:rPr>
          <w:rFonts w:ascii="Times New Roman" w:eastAsia="Times New Roman" w:hAnsi="Times New Roman" w:cs="Times New Roman"/>
        </w:rPr>
      </w:pPr>
      <w:r>
        <w:rPr>
          <w:rFonts w:ascii="Times New Roman" w:eastAsia="Times New Roman" w:hAnsi="Times New Roman" w:cs="Times New Roman"/>
          <w:b/>
          <w:bCs/>
        </w:rPr>
        <w:t>Project Preparation Unit Support Team at the Recovery and Reform Delivery Office</w:t>
      </w:r>
    </w:p>
    <w:p w:rsidR="007E7E04" w:rsidRDefault="009E09EE">
      <w:pPr>
        <w:spacing w:before="120" w:after="120" w:line="276" w:lineRule="auto"/>
        <w:jc w:val="center"/>
        <w:rPr>
          <w:rFonts w:ascii="Times New Roman" w:eastAsia="Times New Roman" w:hAnsi="Times New Roman" w:cs="Times New Roman"/>
        </w:rPr>
      </w:pPr>
      <w:r>
        <w:rPr>
          <w:rFonts w:ascii="Times New Roman" w:eastAsia="Times New Roman" w:hAnsi="Times New Roman" w:cs="Times New Roman"/>
          <w:b/>
          <w:bCs/>
        </w:rPr>
        <w:t>Analyst (Category 2)</w:t>
      </w:r>
    </w:p>
    <w:p w:rsidR="007E7E04" w:rsidRDefault="009E09EE">
      <w:pPr>
        <w:tabs>
          <w:tab w:val="left" w:pos="34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1.</w:t>
      </w:r>
      <w:r>
        <w:rPr>
          <w:rFonts w:ascii="Times New Roman" w:eastAsia="Times New Roman" w:hAnsi="Times New Roman" w:cs="Times New Roman"/>
        </w:rPr>
        <w:tab/>
      </w:r>
      <w:r>
        <w:rPr>
          <w:rFonts w:ascii="Times New Roman" w:eastAsia="Times New Roman" w:hAnsi="Times New Roman" w:cs="Times New Roman"/>
          <w:b/>
          <w:bCs/>
        </w:rPr>
        <w:t>Objective(s) and Linkages to Reforms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Recovery and Reform Delivery Office (RDO) is part of the Ukraine Recovery and Reform Architecture (URA), a comprehensive technical assistance programme deployed by the European Bank for Reconstruction and Development (EBRD), in partnership with the Eur</w:t>
      </w:r>
      <w:r>
        <w:rPr>
          <w:rFonts w:ascii="Times New Roman" w:eastAsia="Times New Roman" w:hAnsi="Times New Roman" w:cs="Times New Roman"/>
        </w:rPr>
        <w:t xml:space="preserve">opean Union (EU), to support the Government of Ukraine in key reform, recovery and EU integration processes. It is placed in the Cabinet of Ministers of Ukraine (CMU) and serves as an advisory body to the CMU, providing coordination, expert and analytical </w:t>
      </w:r>
      <w:r>
        <w:rPr>
          <w:rFonts w:ascii="Times New Roman" w:eastAsia="Times New Roman" w:hAnsi="Times New Roman" w:cs="Times New Roman"/>
        </w:rPr>
        <w:t xml:space="preserve">support in the design and implementation of priority reform and recovery initiatives. </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Project Preparation Unit for Public Investment Project (PPU), established in January 2025, plays a key role in facilitating the efficient and transparent preparation</w:t>
      </w:r>
      <w:r>
        <w:rPr>
          <w:rFonts w:ascii="Times New Roman" w:eastAsia="Times New Roman" w:hAnsi="Times New Roman" w:cs="Times New Roman"/>
        </w:rPr>
        <w:t xml:space="preserve"> of public investment projects within the scope of ongoing processes of national recovery and reconstruction. The PPU is embedded in a wider Public Investment Management (PIM) framework aiming to enhance the implementation of public investment projects and</w:t>
      </w:r>
      <w:r>
        <w:rPr>
          <w:rFonts w:ascii="Times New Roman" w:eastAsia="Times New Roman" w:hAnsi="Times New Roman" w:cs="Times New Roman"/>
        </w:rPr>
        <w:t xml:space="preserve"> foster Ukraine’s economic growth and resilience through strategic allocation of public resources.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 xml:space="preserve">The PPU (under the umbrella of the Strategic Investment Council) ensures coordination across project preparation support provided by all partners, including </w:t>
      </w:r>
      <w:r>
        <w:rPr>
          <w:rFonts w:ascii="Times New Roman" w:eastAsia="Times New Roman" w:hAnsi="Times New Roman" w:cs="Times New Roman"/>
        </w:rPr>
        <w:t xml:space="preserve">providing guidance and capacity-building support to Ukrainian beneficiaries (ministries, SOEs, regional and state agencies, and local communities). The PPU acts as the interface between the PIM system and the various Project Preparation Facilities (PPFs), </w:t>
      </w:r>
      <w:r>
        <w:rPr>
          <w:rFonts w:ascii="Times New Roman" w:eastAsia="Times New Roman" w:hAnsi="Times New Roman" w:cs="Times New Roman"/>
        </w:rPr>
        <w:t>ensuring projects are prepared according to the Government of Ukraine's priorities and EU standards.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PPU acts as a temporary advisory body to the CMU and is composed of representatives of the Ministry of Economy, Ministry of Finance, Ministry for Devel</w:t>
      </w:r>
      <w:r>
        <w:rPr>
          <w:rFonts w:ascii="Times New Roman" w:eastAsia="Times New Roman" w:hAnsi="Times New Roman" w:cs="Times New Roman"/>
        </w:rPr>
        <w:t xml:space="preserve">opment, the Recovery and Reform Delivery Office (RDO) of the CMU, reform support offices (teams) and other consultative and advisory bodies established by the ministries. The PPU is chaired by the Deputy Minister of Economy. </w:t>
      </w:r>
    </w:p>
    <w:p w:rsidR="007E7E04" w:rsidRDefault="009E09EE">
      <w:pPr>
        <w:spacing w:before="120"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The main tasks of the Project </w:t>
      </w:r>
      <w:r>
        <w:rPr>
          <w:rFonts w:ascii="Times New Roman" w:eastAsia="Times New Roman" w:hAnsi="Times New Roman" w:cs="Times New Roman"/>
        </w:rPr>
        <w:t>Preparation Unit are:</w:t>
      </w:r>
    </w:p>
    <w:p w:rsidR="007E7E04" w:rsidRDefault="009E09EE">
      <w:pPr>
        <w:widowControl w:val="0"/>
        <w:numPr>
          <w:ilvl w:val="0"/>
          <w:numId w:val="10"/>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Promotion of coordination of actions of central and local executive bodies, other state bodies, local governments and IFIs that have created programs for the preparation of public investment projects in Ukraine (hereinafter referred t</w:t>
      </w:r>
      <w:r>
        <w:rPr>
          <w:rFonts w:ascii="Times New Roman" w:eastAsia="Times New Roman" w:hAnsi="Times New Roman" w:cs="Times New Roman"/>
        </w:rPr>
        <w:t>o as the PPFs), regarding the preparation and implementation of public investment projects;</w:t>
      </w:r>
    </w:p>
    <w:p w:rsidR="007E7E04" w:rsidRDefault="009E09EE">
      <w:pPr>
        <w:widowControl w:val="0"/>
        <w:numPr>
          <w:ilvl w:val="0"/>
          <w:numId w:val="10"/>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Interaction with IFIs on issues of attracting support for the preparation and implementation of public investment projects;</w:t>
      </w:r>
    </w:p>
    <w:p w:rsidR="007E7E04" w:rsidRDefault="009E09EE">
      <w:pPr>
        <w:widowControl w:val="0"/>
        <w:numPr>
          <w:ilvl w:val="0"/>
          <w:numId w:val="10"/>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Identification of ways, mechanisms and m</w:t>
      </w:r>
      <w:r>
        <w:rPr>
          <w:rFonts w:ascii="Times New Roman" w:eastAsia="Times New Roman" w:hAnsi="Times New Roman" w:cs="Times New Roman"/>
        </w:rPr>
        <w:t>ethods of attracting financing for public investment projects included in a single project pipeline (SPP);</w:t>
      </w:r>
    </w:p>
    <w:p w:rsidR="007E7E04" w:rsidRDefault="009E09EE">
      <w:pPr>
        <w:widowControl w:val="0"/>
        <w:numPr>
          <w:ilvl w:val="0"/>
          <w:numId w:val="10"/>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Participation in the development of draft regulatory legal acts on issues of improving the public investment management system (PIM);</w:t>
      </w:r>
    </w:p>
    <w:p w:rsidR="007E7E04" w:rsidRDefault="009E09EE">
      <w:pPr>
        <w:widowControl w:val="0"/>
        <w:numPr>
          <w:ilvl w:val="0"/>
          <w:numId w:val="10"/>
        </w:num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Preparation of </w:t>
      </w:r>
      <w:r>
        <w:rPr>
          <w:rFonts w:ascii="Times New Roman" w:eastAsia="Times New Roman" w:hAnsi="Times New Roman" w:cs="Times New Roman"/>
        </w:rPr>
        <w:t>proposals for monitoring the support attracted for the purposes of preparing/implementing public investment projects, to prevent duplication of funding, in particular from funds provided by the European Union, other development partners, including internat</w:t>
      </w:r>
      <w:r>
        <w:rPr>
          <w:rFonts w:ascii="Times New Roman" w:eastAsia="Times New Roman" w:hAnsi="Times New Roman" w:cs="Times New Roman"/>
        </w:rPr>
        <w:t>ional financial organizations, state or local budgets.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 xml:space="preserve">A team of ten experts, led by a Team Lead, is embedded within the RDO to provide capacity support for the PPU’s operations. The team aims to promote the use of Project Preparation Facilities (PPFs) by </w:t>
      </w:r>
      <w:r>
        <w:rPr>
          <w:rFonts w:ascii="Times New Roman" w:eastAsia="Times New Roman" w:hAnsi="Times New Roman" w:cs="Times New Roman"/>
        </w:rPr>
        <w:t>project initiators to enhance project readiness for funding and to increase the number of public investment projects included in a single project pipeline and positioned to attract financing.</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Analyst will play a crucial role in supporting the evaluatio</w:t>
      </w:r>
      <w:r>
        <w:rPr>
          <w:rFonts w:ascii="Times New Roman" w:eastAsia="Times New Roman" w:hAnsi="Times New Roman" w:cs="Times New Roman"/>
        </w:rPr>
        <w:t>n of project proposals by ensuring data accuracy and supporting project assessment processes. Additionally, they will assist with facilitating data collection and preparing comprehensive reports, thereby contributing to informed decision-making by the Proj</w:t>
      </w:r>
      <w:r>
        <w:rPr>
          <w:rFonts w:ascii="Times New Roman" w:eastAsia="Times New Roman" w:hAnsi="Times New Roman" w:cs="Times New Roman"/>
        </w:rPr>
        <w:t>ect Preparation Unit (PPU) and the Strategic Investment Council (SIC).</w:t>
      </w:r>
    </w:p>
    <w:p w:rsidR="007E7E04" w:rsidRDefault="009E09EE">
      <w:pPr>
        <w:tabs>
          <w:tab w:val="left" w:pos="34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2.</w:t>
      </w:r>
      <w:r>
        <w:rPr>
          <w:rFonts w:ascii="Times New Roman" w:eastAsia="Times New Roman" w:hAnsi="Times New Roman" w:cs="Times New Roman"/>
        </w:rPr>
        <w:tab/>
      </w:r>
      <w:r>
        <w:rPr>
          <w:rFonts w:ascii="Times New Roman" w:eastAsia="Times New Roman" w:hAnsi="Times New Roman" w:cs="Times New Roman"/>
          <w:b/>
          <w:bCs/>
        </w:rPr>
        <w:t>Position and Reporting Lines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Analyst will be a full-time consultant at the Recovery and Reform Delivery Office (RDO) at the Cabinet of Ministers of Ukraine. The Consultant is exp</w:t>
      </w:r>
      <w:r>
        <w:rPr>
          <w:rFonts w:ascii="Times New Roman" w:eastAsia="Times New Roman" w:hAnsi="Times New Roman" w:cs="Times New Roman"/>
        </w:rPr>
        <w:t>ected to be based in Kyiv (subject to the security rules for CMU staff).</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 xml:space="preserve">The consultant will be subordinated to the PPU Team Lead. </w:t>
      </w:r>
    </w:p>
    <w:p w:rsidR="007E7E04" w:rsidRDefault="009E09EE">
      <w:pPr>
        <w:tabs>
          <w:tab w:val="left" w:pos="34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3.</w:t>
      </w:r>
      <w:r>
        <w:rPr>
          <w:rFonts w:ascii="Times New Roman" w:eastAsia="Times New Roman" w:hAnsi="Times New Roman" w:cs="Times New Roman"/>
        </w:rPr>
        <w:tab/>
      </w:r>
      <w:r>
        <w:rPr>
          <w:rFonts w:ascii="Times New Roman" w:eastAsia="Times New Roman" w:hAnsi="Times New Roman" w:cs="Times New Roman"/>
          <w:b/>
          <w:bCs/>
        </w:rPr>
        <w:t>Duration and Proposed Timeframe</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initial consultancy assignment is expected to start in October 2026 and has an estima</w:t>
      </w:r>
      <w:r>
        <w:rPr>
          <w:rFonts w:ascii="Times New Roman" w:eastAsia="Times New Roman" w:hAnsi="Times New Roman" w:cs="Times New Roman"/>
        </w:rPr>
        <w:t>ted duration until August 2027. The assignment may be extended subject to the availability of funding, the consultant’s performance, and the specific needs of the RDO (PPU) and the Government of Ukraine. The probation period is three months.</w:t>
      </w:r>
    </w:p>
    <w:p w:rsidR="007E7E04" w:rsidRDefault="009E09EE">
      <w:pPr>
        <w:tabs>
          <w:tab w:val="left" w:pos="34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4.</w:t>
      </w:r>
      <w:r>
        <w:rPr>
          <w:rFonts w:ascii="Times New Roman" w:eastAsia="Times New Roman" w:hAnsi="Times New Roman" w:cs="Times New Roman"/>
        </w:rPr>
        <w:tab/>
      </w:r>
      <w:r>
        <w:rPr>
          <w:rFonts w:ascii="Times New Roman" w:eastAsia="Times New Roman" w:hAnsi="Times New Roman" w:cs="Times New Roman"/>
          <w:b/>
          <w:bCs/>
        </w:rPr>
        <w:t>Main Duties and Responsibilities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The Analyst is expected to assist other experts of the Project Preparation Unit Support Team with the following:</w:t>
      </w:r>
    </w:p>
    <w:p w:rsidR="007E7E04" w:rsidRDefault="009E09EE">
      <w:pPr>
        <w:pBdr>
          <w:top w:val="nil"/>
          <w:left w:val="nil"/>
          <w:bottom w:val="nil"/>
          <w:right w:val="nil"/>
          <w:between w:val="nil"/>
        </w:pBdr>
        <w:spacing w:after="0" w:line="276" w:lineRule="auto"/>
        <w:jc w:val="both"/>
        <w:rPr>
          <w:rFonts w:ascii="Times New Roman" w:eastAsia="Times New Roman" w:hAnsi="Times New Roman" w:cs="Times New Roman"/>
        </w:rPr>
      </w:pPr>
      <w:r>
        <w:rPr>
          <w:rFonts w:ascii="Times New Roman" w:eastAsia="Times New Roman" w:hAnsi="Times New Roman" w:cs="Times New Roman"/>
          <w:b/>
          <w:bCs/>
          <w:color w:val="000000"/>
        </w:rPr>
        <w:t>Public Investment Management Reform Support</w:t>
      </w:r>
    </w:p>
    <w:p w:rsidR="007E7E04" w:rsidRDefault="009E09EE">
      <w:pPr>
        <w:numPr>
          <w:ilvl w:val="0"/>
          <w:numId w:val="6"/>
        </w:numPr>
        <w:pBdr>
          <w:top w:val="nil"/>
          <w:left w:val="nil"/>
          <w:bottom w:val="nil"/>
          <w:right w:val="nil"/>
          <w:between w:val="nil"/>
        </w:pBdr>
        <w:spacing w:after="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Assist with the implementation of initiatives and activities under</w:t>
      </w:r>
      <w:r>
        <w:rPr>
          <w:rFonts w:ascii="Times New Roman" w:eastAsia="Times New Roman" w:hAnsi="Times New Roman" w:cs="Times New Roman"/>
          <w:color w:val="000000"/>
        </w:rPr>
        <w:t xml:space="preserve"> the Public Investment Management (PIM) reform, ensuring alignment with key policy objectives</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incl. PIM action plan and Ukraine’s long-term strategic goals, particularly those related to EU integration requirements, pan-European strategies, and obligatio</w:t>
      </w:r>
      <w:r>
        <w:rPr>
          <w:rFonts w:ascii="Times New Roman" w:eastAsia="Times New Roman" w:hAnsi="Times New Roman" w:cs="Times New Roman"/>
          <w:color w:val="000000"/>
        </w:rPr>
        <w:t>ns to donors.</w:t>
      </w:r>
    </w:p>
    <w:p w:rsidR="007E7E04" w:rsidRDefault="009E09EE">
      <w:pPr>
        <w:pBdr>
          <w:top w:val="nil"/>
          <w:left w:val="nil"/>
          <w:bottom w:val="nil"/>
          <w:right w:val="nil"/>
          <w:between w:val="nil"/>
        </w:pBdr>
        <w:spacing w:before="120" w:after="0" w:line="27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Data Analysis</w:t>
      </w:r>
    </w:p>
    <w:p w:rsidR="007E7E04" w:rsidRDefault="009E09EE">
      <w:pPr>
        <w:numPr>
          <w:ilvl w:val="0"/>
          <w:numId w:val="11"/>
        </w:numPr>
        <w:pBdr>
          <w:top w:val="nil"/>
          <w:left w:val="nil"/>
          <w:bottom w:val="nil"/>
          <w:right w:val="nil"/>
          <w:between w:val="nil"/>
        </w:pBdr>
        <w:spacing w:after="0" w:line="276" w:lineRule="auto"/>
        <w:ind w:left="720"/>
        <w:jc w:val="both"/>
      </w:pPr>
      <w:r>
        <w:rPr>
          <w:rFonts w:ascii="Times New Roman" w:eastAsia="Times New Roman" w:hAnsi="Times New Roman" w:cs="Times New Roman"/>
          <w:color w:val="000000"/>
        </w:rPr>
        <w:lastRenderedPageBreak/>
        <w:t xml:space="preserve">Analyse relevant economic, financial, legal or </w:t>
      </w:r>
      <w:r>
        <w:rPr>
          <w:rFonts w:ascii="Times New Roman" w:eastAsia="Times New Roman" w:hAnsi="Times New Roman" w:cs="Times New Roman"/>
        </w:rPr>
        <w:t>sector-specific</w:t>
      </w:r>
      <w:r>
        <w:rPr>
          <w:rFonts w:ascii="Times New Roman" w:eastAsia="Times New Roman" w:hAnsi="Times New Roman" w:cs="Times New Roman"/>
          <w:color w:val="000000"/>
        </w:rPr>
        <w:t xml:space="preserve"> data within the public investment management framework</w:t>
      </w:r>
      <w:r>
        <w:rPr>
          <w:rFonts w:ascii="Times New Roman" w:eastAsia="Times New Roman" w:hAnsi="Times New Roman" w:cs="Times New Roman"/>
        </w:rPr>
        <w:t>.</w:t>
      </w:r>
    </w:p>
    <w:p w:rsidR="007E7E04" w:rsidRDefault="009E09EE">
      <w:pPr>
        <w:numPr>
          <w:ilvl w:val="0"/>
          <w:numId w:val="11"/>
        </w:numPr>
        <w:pBdr>
          <w:top w:val="nil"/>
          <w:left w:val="nil"/>
          <w:bottom w:val="nil"/>
          <w:right w:val="nil"/>
          <w:between w:val="nil"/>
        </w:pBdr>
        <w:spacing w:after="0" w:line="276" w:lineRule="auto"/>
        <w:ind w:left="720"/>
        <w:jc w:val="both"/>
      </w:pPr>
      <w:r>
        <w:rPr>
          <w:rFonts w:ascii="Times New Roman" w:eastAsia="Times New Roman" w:hAnsi="Times New Roman" w:cs="Times New Roman"/>
        </w:rPr>
        <w:t>Provide analytical support to Senior PIM Experts, upon request of the Team Lead and subject to workload considerations, including data collection, processing, monitoring, dashboard development, and analysis of information from DREAM and other relevant sour</w:t>
      </w:r>
      <w:r>
        <w:rPr>
          <w:rFonts w:ascii="Times New Roman" w:eastAsia="Times New Roman" w:hAnsi="Times New Roman" w:cs="Times New Roman"/>
        </w:rPr>
        <w:t>ces.</w:t>
      </w:r>
    </w:p>
    <w:p w:rsidR="007E7E04" w:rsidRDefault="009E09EE">
      <w:pPr>
        <w:numPr>
          <w:ilvl w:val="0"/>
          <w:numId w:val="11"/>
        </w:numPr>
        <w:pBdr>
          <w:top w:val="nil"/>
          <w:left w:val="nil"/>
          <w:bottom w:val="nil"/>
          <w:right w:val="nil"/>
          <w:between w:val="nil"/>
        </w:pBdr>
        <w:spacing w:after="0" w:line="276" w:lineRule="auto"/>
        <w:ind w:left="720"/>
        <w:jc w:val="both"/>
      </w:pPr>
      <w:r>
        <w:rPr>
          <w:rFonts w:ascii="Times New Roman" w:eastAsia="Times New Roman" w:hAnsi="Times New Roman" w:cs="Times New Roman"/>
          <w:color w:val="000000"/>
        </w:rPr>
        <w:t>Prepare analytical materials, briefs, and presentations based on data analysis.</w:t>
      </w:r>
    </w:p>
    <w:p w:rsidR="007E7E04" w:rsidRDefault="009E09EE">
      <w:pPr>
        <w:pBdr>
          <w:top w:val="nil"/>
          <w:left w:val="nil"/>
          <w:bottom w:val="nil"/>
          <w:right w:val="nil"/>
          <w:between w:val="nil"/>
        </w:pBdr>
        <w:spacing w:before="200" w:after="0" w:line="276" w:lineRule="auto"/>
        <w:jc w:val="both"/>
        <w:rPr>
          <w:rFonts w:ascii="Times New Roman" w:eastAsia="Times New Roman" w:hAnsi="Times New Roman" w:cs="Times New Roman"/>
          <w:b/>
          <w:bCs/>
        </w:rPr>
      </w:pPr>
      <w:r>
        <w:rPr>
          <w:rFonts w:ascii="Times New Roman" w:eastAsia="Times New Roman" w:hAnsi="Times New Roman" w:cs="Times New Roman"/>
          <w:b/>
          <w:bCs/>
          <w:color w:val="000000"/>
        </w:rPr>
        <w:t>Inter-Ministerial Coordination</w:t>
      </w:r>
    </w:p>
    <w:p w:rsidR="007E7E04" w:rsidRDefault="009E09EE">
      <w:pPr>
        <w:numPr>
          <w:ilvl w:val="0"/>
          <w:numId w:val="1"/>
        </w:numPr>
        <w:pBdr>
          <w:top w:val="nil"/>
          <w:left w:val="nil"/>
          <w:bottom w:val="nil"/>
          <w:right w:val="nil"/>
          <w:between w:val="nil"/>
        </w:pBdr>
        <w:spacing w:after="20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Facilitate effective inter-ministerial coordination by organising meetings, workshops, and discussions to gather input from governmental ins</w:t>
      </w:r>
      <w:r>
        <w:rPr>
          <w:rFonts w:ascii="Times New Roman" w:eastAsia="Times New Roman" w:hAnsi="Times New Roman" w:cs="Times New Roman"/>
          <w:color w:val="000000"/>
        </w:rPr>
        <w:t>titutions involved in project preparation, particularly the Ministry of Economy, Ministry of Finance, Ministry of Development, and other relevant line ministries and public entities.</w:t>
      </w:r>
    </w:p>
    <w:p w:rsidR="007E7E04" w:rsidRDefault="009E09EE">
      <w:pPr>
        <w:pBdr>
          <w:top w:val="nil"/>
          <w:left w:val="nil"/>
          <w:bottom w:val="nil"/>
          <w:right w:val="nil"/>
          <w:between w:val="nil"/>
        </w:pBdr>
        <w:spacing w:after="0" w:line="276" w:lineRule="auto"/>
        <w:jc w:val="both"/>
        <w:rPr>
          <w:rFonts w:ascii="Times New Roman" w:eastAsia="Times New Roman" w:hAnsi="Times New Roman" w:cs="Times New Roman"/>
          <w:b/>
          <w:bCs/>
        </w:rPr>
      </w:pPr>
      <w:r>
        <w:rPr>
          <w:rFonts w:ascii="Times New Roman" w:eastAsia="Times New Roman" w:hAnsi="Times New Roman" w:cs="Times New Roman"/>
          <w:b/>
          <w:bCs/>
          <w:color w:val="000000"/>
        </w:rPr>
        <w:t>Stakeholder Engagement</w:t>
      </w:r>
    </w:p>
    <w:p w:rsidR="007E7E04" w:rsidRDefault="009E09EE">
      <w:pPr>
        <w:numPr>
          <w:ilvl w:val="0"/>
          <w:numId w:val="7"/>
        </w:numPr>
        <w:pBdr>
          <w:top w:val="nil"/>
          <w:left w:val="nil"/>
          <w:bottom w:val="nil"/>
          <w:right w:val="nil"/>
          <w:between w:val="nil"/>
        </w:pBdr>
        <w:spacing w:after="20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Collaborate with various stakeholders, including international partners and civil society organisations, to gather feedback and ensure transparency and inclusivity throughout the project development process.</w:t>
      </w:r>
    </w:p>
    <w:p w:rsidR="007E7E04" w:rsidRDefault="009E09EE">
      <w:pPr>
        <w:pBdr>
          <w:top w:val="nil"/>
          <w:left w:val="nil"/>
          <w:bottom w:val="nil"/>
          <w:right w:val="nil"/>
          <w:between w:val="nil"/>
        </w:pBdr>
        <w:spacing w:after="0" w:line="276" w:lineRule="auto"/>
        <w:jc w:val="both"/>
        <w:rPr>
          <w:rFonts w:ascii="Times New Roman" w:eastAsia="Times New Roman" w:hAnsi="Times New Roman" w:cs="Times New Roman"/>
        </w:rPr>
      </w:pPr>
      <w:r>
        <w:rPr>
          <w:rFonts w:ascii="Times New Roman" w:eastAsia="Times New Roman" w:hAnsi="Times New Roman" w:cs="Times New Roman"/>
          <w:b/>
          <w:bCs/>
          <w:color w:val="000000"/>
        </w:rPr>
        <w:t>Monitoring and Reporting</w:t>
      </w:r>
    </w:p>
    <w:p w:rsidR="007E7E04" w:rsidRDefault="009E09EE">
      <w:pPr>
        <w:numPr>
          <w:ilvl w:val="0"/>
          <w:numId w:val="8"/>
        </w:numPr>
        <w:pBdr>
          <w:top w:val="nil"/>
          <w:left w:val="nil"/>
          <w:bottom w:val="nil"/>
          <w:right w:val="nil"/>
          <w:between w:val="nil"/>
        </w:pBdr>
        <w:spacing w:after="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Maintain a project data</w:t>
      </w:r>
      <w:r>
        <w:rPr>
          <w:rFonts w:ascii="Times New Roman" w:eastAsia="Times New Roman" w:hAnsi="Times New Roman" w:cs="Times New Roman"/>
          <w:color w:val="000000"/>
        </w:rPr>
        <w:t>base to monitor progress of projects throughout their life-cycle, ensuring accuracy and consistency of project data, preparing regular progress reports;</w:t>
      </w:r>
    </w:p>
    <w:p w:rsidR="007E7E04" w:rsidRDefault="009E09EE">
      <w:pPr>
        <w:numPr>
          <w:ilvl w:val="0"/>
          <w:numId w:val="8"/>
        </w:numPr>
        <w:pBdr>
          <w:top w:val="nil"/>
          <w:left w:val="nil"/>
          <w:bottom w:val="nil"/>
          <w:right w:val="nil"/>
          <w:between w:val="nil"/>
        </w:pBdr>
        <w:spacing w:after="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Support the drafting of quarterly, semi-annual, and annual reports.</w:t>
      </w:r>
    </w:p>
    <w:p w:rsidR="007E7E04" w:rsidRDefault="009E09EE">
      <w:pPr>
        <w:spacing w:before="120" w:after="0" w:line="276" w:lineRule="auto"/>
        <w:jc w:val="both"/>
        <w:rPr>
          <w:rFonts w:ascii="Times New Roman" w:eastAsia="Times New Roman" w:hAnsi="Times New Roman" w:cs="Times New Roman"/>
        </w:rPr>
      </w:pPr>
      <w:r>
        <w:rPr>
          <w:rFonts w:ascii="Times New Roman" w:eastAsia="Times New Roman" w:hAnsi="Times New Roman" w:cs="Times New Roman"/>
          <w:b/>
          <w:bCs/>
          <w:color w:val="000000"/>
        </w:rPr>
        <w:t>Official Communication and Coordina</w:t>
      </w:r>
      <w:r>
        <w:rPr>
          <w:rFonts w:ascii="Times New Roman" w:eastAsia="Times New Roman" w:hAnsi="Times New Roman" w:cs="Times New Roman"/>
          <w:b/>
          <w:bCs/>
          <w:color w:val="000000"/>
        </w:rPr>
        <w:t>tion Support</w:t>
      </w:r>
    </w:p>
    <w:p w:rsidR="007E7E04" w:rsidRDefault="009E09EE">
      <w:pPr>
        <w:numPr>
          <w:ilvl w:val="0"/>
          <w:numId w:val="5"/>
        </w:numPr>
        <w:spacing w:after="120" w:line="276" w:lineRule="auto"/>
        <w:jc w:val="both"/>
        <w:rPr>
          <w:rFonts w:ascii="Times New Roman" w:eastAsia="Times New Roman" w:hAnsi="Times New Roman" w:cs="Times New Roman"/>
        </w:rPr>
      </w:pPr>
      <w:r>
        <w:rPr>
          <w:rFonts w:ascii="Times New Roman" w:eastAsia="Times New Roman" w:hAnsi="Times New Roman" w:cs="Times New Roman"/>
          <w:color w:val="000000"/>
        </w:rPr>
        <w:t>Draft and manage official correspondence to government institutions, international partners, IFIs, and project initiators, including letters related to project selection processes, communication of decisions, and follow-up requests. Ensure tim</w:t>
      </w:r>
      <w:r>
        <w:rPr>
          <w:rFonts w:ascii="Times New Roman" w:eastAsia="Times New Roman" w:hAnsi="Times New Roman" w:cs="Times New Roman"/>
          <w:color w:val="000000"/>
        </w:rPr>
        <w:t>ely and accurate dissemination of key decisions and information, including outcomes of PPU meetings.</w:t>
      </w:r>
    </w:p>
    <w:p w:rsidR="007E7E04" w:rsidRDefault="009E09EE">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The scope of work and expected deliverables can be modified and supplemented upon request from the government and with the agreement of the EBRD and the EU Delegation in Kyiv.</w:t>
      </w:r>
    </w:p>
    <w:p w:rsidR="007E7E04" w:rsidRDefault="009E09EE">
      <w:pPr>
        <w:spacing w:before="120" w:after="120"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5. Expected Deliverables </w:t>
      </w:r>
    </w:p>
    <w:p w:rsidR="007E7E04" w:rsidRDefault="009E09EE">
      <w:pPr>
        <w:numPr>
          <w:ilvl w:val="0"/>
          <w:numId w:val="9"/>
        </w:numPr>
        <w:spacing w:before="120" w:after="0" w:line="276" w:lineRule="auto"/>
        <w:jc w:val="both"/>
        <w:rPr>
          <w:rFonts w:ascii="Times New Roman" w:eastAsia="Times New Roman" w:hAnsi="Times New Roman" w:cs="Times New Roman"/>
        </w:rPr>
      </w:pPr>
      <w:r>
        <w:rPr>
          <w:rFonts w:ascii="Times New Roman" w:eastAsia="Times New Roman" w:hAnsi="Times New Roman" w:cs="Times New Roman"/>
        </w:rPr>
        <w:t>Written assessments of project proposals, evaluating t</w:t>
      </w:r>
      <w:r>
        <w:rPr>
          <w:rFonts w:ascii="Times New Roman" w:eastAsia="Times New Roman" w:hAnsi="Times New Roman" w:cs="Times New Roman"/>
        </w:rPr>
        <w:t>heir completeness and alignment with PIM action plan objectives, EU integration requirements, pan-European strategies, and donor obligations.</w:t>
      </w:r>
    </w:p>
    <w:p w:rsidR="007E7E04" w:rsidRDefault="009E09EE">
      <w:pPr>
        <w:numPr>
          <w:ilvl w:val="0"/>
          <w:numId w:val="9"/>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Analytical materials, briefs, and presentations drawing on economic, financial, legal, or sector-specific data wit</w:t>
      </w:r>
      <w:r>
        <w:rPr>
          <w:rFonts w:ascii="Times New Roman" w:eastAsia="Times New Roman" w:hAnsi="Times New Roman" w:cs="Times New Roman"/>
        </w:rPr>
        <w:t>hin the public investment management framework.</w:t>
      </w:r>
    </w:p>
    <w:p w:rsidR="007E7E04" w:rsidRDefault="009E09EE">
      <w:pPr>
        <w:numPr>
          <w:ilvl w:val="0"/>
          <w:numId w:val="9"/>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Records of inter-ministerial coordination meetings, workshops, and discussions organised with the relevant line ministries and public entities, including agreed action points and follow-up items.</w:t>
      </w:r>
    </w:p>
    <w:p w:rsidR="007E7E04" w:rsidRDefault="009E09EE">
      <w:pPr>
        <w:numPr>
          <w:ilvl w:val="0"/>
          <w:numId w:val="9"/>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Stakeholder </w:t>
      </w:r>
      <w:r>
        <w:rPr>
          <w:rFonts w:ascii="Times New Roman" w:eastAsia="Times New Roman" w:hAnsi="Times New Roman" w:cs="Times New Roman"/>
        </w:rPr>
        <w:t>engagement summaries documenting feedback gathered from international partners, civil society organisations, and other relevant parties, with findings fed into the project development process to ensure transparency and inclusivity.</w:t>
      </w:r>
    </w:p>
    <w:p w:rsidR="007E7E04" w:rsidRDefault="009E09EE">
      <w:pPr>
        <w:numPr>
          <w:ilvl w:val="0"/>
          <w:numId w:val="9"/>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Up-to-date project datab</w:t>
      </w:r>
      <w:r>
        <w:rPr>
          <w:rFonts w:ascii="Times New Roman" w:eastAsia="Times New Roman" w:hAnsi="Times New Roman" w:cs="Times New Roman"/>
        </w:rPr>
        <w:t>ase reflecting the current status of all projects across their lifecycle, maintained on a rolling basis with verified data entries, and accompanied by regular progress reports produced at agreed intervals.</w:t>
      </w:r>
    </w:p>
    <w:p w:rsidR="007E7E04" w:rsidRDefault="009E09EE">
      <w:pPr>
        <w:numPr>
          <w:ilvl w:val="0"/>
          <w:numId w:val="9"/>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Contributions to quarterly, semi-annual, and annua</w:t>
      </w:r>
      <w:r>
        <w:rPr>
          <w:rFonts w:ascii="Times New Roman" w:eastAsia="Times New Roman" w:hAnsi="Times New Roman" w:cs="Times New Roman"/>
        </w:rPr>
        <w:t>l PPU reports.</w:t>
      </w:r>
    </w:p>
    <w:p w:rsidR="007E7E04" w:rsidRDefault="009E09EE">
      <w:pPr>
        <w:numPr>
          <w:ilvl w:val="0"/>
          <w:numId w:val="9"/>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Drafted official correspondence to governmental institutions, international partners, IFIs, and project initiators.</w:t>
      </w:r>
    </w:p>
    <w:p w:rsidR="007E7E04" w:rsidRDefault="009E09EE">
      <w:pPr>
        <w:tabs>
          <w:tab w:val="left" w:pos="360"/>
        </w:tabs>
        <w:spacing w:before="120" w:after="120" w:line="276" w:lineRule="auto"/>
        <w:jc w:val="both"/>
        <w:rPr>
          <w:rFonts w:ascii="Arial" w:eastAsia="Arial" w:hAnsi="Arial" w:cs="Arial"/>
          <w:color w:val="000000"/>
          <w:sz w:val="22"/>
          <w:szCs w:val="22"/>
        </w:rPr>
      </w:pPr>
      <w:r>
        <w:rPr>
          <w:rFonts w:ascii="Times New Roman" w:eastAsia="Times New Roman" w:hAnsi="Times New Roman" w:cs="Times New Roman"/>
          <w:b/>
          <w:bCs/>
        </w:rPr>
        <w:t>6. Qualifications, Skills and Experience</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i/>
          <w:iCs/>
        </w:rPr>
        <w:t>6.1 Qualifications and Skills</w:t>
      </w:r>
    </w:p>
    <w:p w:rsidR="007E7E04" w:rsidRDefault="009E09EE">
      <w:pPr>
        <w:numPr>
          <w:ilvl w:val="1"/>
          <w:numId w:val="3"/>
        </w:numPr>
        <w:pBdr>
          <w:top w:val="nil"/>
          <w:left w:val="nil"/>
          <w:bottom w:val="nil"/>
          <w:right w:val="nil"/>
          <w:between w:val="nil"/>
        </w:pBdr>
        <w:tabs>
          <w:tab w:val="left" w:pos="720"/>
        </w:tabs>
        <w:spacing w:before="120" w:after="0" w:line="276" w:lineRule="auto"/>
        <w:ind w:left="720" w:hanging="369"/>
        <w:jc w:val="both"/>
        <w:rPr>
          <w:color w:val="000000"/>
        </w:rPr>
      </w:pPr>
      <w:r>
        <w:rPr>
          <w:rFonts w:ascii="Times New Roman" w:eastAsia="Times New Roman" w:hAnsi="Times New Roman" w:cs="Times New Roman"/>
          <w:color w:val="000000"/>
        </w:rPr>
        <w:t>Master’s degree in Law, Economics, Finance, Management or other related fields.</w:t>
      </w:r>
    </w:p>
    <w:p w:rsidR="007E7E04" w:rsidRDefault="009E09EE">
      <w:pPr>
        <w:numPr>
          <w:ilvl w:val="0"/>
          <w:numId w:val="2"/>
        </w:numPr>
        <w:pBdr>
          <w:top w:val="nil"/>
          <w:left w:val="nil"/>
          <w:bottom w:val="nil"/>
          <w:right w:val="nil"/>
          <w:between w:val="nil"/>
        </w:pBdr>
        <w:tabs>
          <w:tab w:val="left" w:pos="720"/>
        </w:tabs>
        <w:spacing w:after="0" w:line="276" w:lineRule="auto"/>
        <w:ind w:left="720" w:hanging="369"/>
        <w:jc w:val="both"/>
        <w:rPr>
          <w:color w:val="000000"/>
        </w:rPr>
      </w:pPr>
      <w:r>
        <w:rPr>
          <w:rFonts w:ascii="Times New Roman" w:eastAsia="Times New Roman" w:hAnsi="Times New Roman" w:cs="Times New Roman"/>
          <w:color w:val="000000"/>
        </w:rPr>
        <w:t>Strong organisational and communication skills.</w:t>
      </w:r>
    </w:p>
    <w:p w:rsidR="007E7E04" w:rsidRDefault="009E09EE">
      <w:pPr>
        <w:numPr>
          <w:ilvl w:val="0"/>
          <w:numId w:val="2"/>
        </w:numPr>
        <w:pBdr>
          <w:top w:val="nil"/>
          <w:left w:val="nil"/>
          <w:bottom w:val="nil"/>
          <w:right w:val="nil"/>
          <w:between w:val="nil"/>
        </w:pBdr>
        <w:tabs>
          <w:tab w:val="left" w:pos="720"/>
        </w:tabs>
        <w:spacing w:after="0" w:line="276" w:lineRule="auto"/>
        <w:ind w:left="720" w:right="20" w:hanging="369"/>
        <w:jc w:val="both"/>
        <w:rPr>
          <w:color w:val="000000"/>
        </w:rPr>
      </w:pPr>
      <w:r>
        <w:rPr>
          <w:rFonts w:ascii="Times New Roman" w:eastAsia="Times New Roman" w:hAnsi="Times New Roman" w:cs="Times New Roman"/>
          <w:color w:val="000000"/>
        </w:rPr>
        <w:t>Strong analytical skills with the capacity to interpret complex legal, commercial, and financial data, along with the ability to produce clear communication outputs (summary tables, reports, infographics) based on extensive datasets.</w:t>
      </w:r>
    </w:p>
    <w:p w:rsidR="007E7E04" w:rsidRDefault="009E09EE">
      <w:pPr>
        <w:numPr>
          <w:ilvl w:val="0"/>
          <w:numId w:val="2"/>
        </w:numPr>
        <w:pBdr>
          <w:top w:val="nil"/>
          <w:left w:val="nil"/>
          <w:bottom w:val="nil"/>
          <w:right w:val="nil"/>
          <w:between w:val="nil"/>
        </w:pBdr>
        <w:tabs>
          <w:tab w:val="left" w:pos="720"/>
        </w:tabs>
        <w:spacing w:after="0" w:line="276" w:lineRule="auto"/>
        <w:ind w:left="720" w:right="20" w:hanging="369"/>
        <w:jc w:val="both"/>
        <w:rPr>
          <w:color w:val="000000"/>
        </w:rPr>
      </w:pPr>
      <w:r>
        <w:rPr>
          <w:rFonts w:ascii="Times New Roman" w:eastAsia="Times New Roman" w:hAnsi="Times New Roman" w:cs="Times New Roman"/>
          <w:color w:val="000000"/>
        </w:rPr>
        <w:t>Proven experience in d</w:t>
      </w:r>
      <w:r>
        <w:rPr>
          <w:rFonts w:ascii="Times New Roman" w:eastAsia="Times New Roman" w:hAnsi="Times New Roman" w:cs="Times New Roman"/>
          <w:color w:val="000000"/>
        </w:rPr>
        <w:t>rafting high-quality progress reports.</w:t>
      </w:r>
      <w:r>
        <w:rPr>
          <w:rFonts w:ascii="Times New Roman" w:eastAsia="Times New Roman" w:hAnsi="Times New Roman" w:cs="Times New Roman"/>
        </w:rPr>
        <w:t xml:space="preserve"> </w:t>
      </w:r>
      <w:r>
        <w:rPr>
          <w:rFonts w:ascii="Times New Roman" w:eastAsia="Times New Roman" w:hAnsi="Times New Roman" w:cs="Times New Roman"/>
          <w:color w:val="000000"/>
        </w:rPr>
        <w:t>Familiarity with EU standards and procedures for investment project preparation will be considered a strong advantage.</w:t>
      </w:r>
    </w:p>
    <w:p w:rsidR="007E7E04" w:rsidRDefault="009E09EE">
      <w:pPr>
        <w:numPr>
          <w:ilvl w:val="0"/>
          <w:numId w:val="2"/>
        </w:numPr>
        <w:pBdr>
          <w:top w:val="nil"/>
          <w:left w:val="nil"/>
          <w:bottom w:val="nil"/>
          <w:right w:val="nil"/>
          <w:between w:val="nil"/>
        </w:pBdr>
        <w:tabs>
          <w:tab w:val="left" w:pos="720"/>
        </w:tabs>
        <w:spacing w:after="0" w:line="276" w:lineRule="auto"/>
        <w:ind w:left="720" w:right="20" w:hanging="369"/>
        <w:jc w:val="both"/>
        <w:rPr>
          <w:color w:val="000000"/>
        </w:rPr>
      </w:pPr>
      <w:r>
        <w:rPr>
          <w:rFonts w:ascii="Times New Roman" w:eastAsia="Times New Roman" w:hAnsi="Times New Roman" w:cs="Times New Roman"/>
          <w:color w:val="000000"/>
        </w:rPr>
        <w:t>Experience in using open-source information, including statistical data.</w:t>
      </w:r>
    </w:p>
    <w:p w:rsidR="007E7E04" w:rsidRDefault="009E09EE">
      <w:pPr>
        <w:numPr>
          <w:ilvl w:val="0"/>
          <w:numId w:val="2"/>
        </w:numPr>
        <w:pBdr>
          <w:top w:val="nil"/>
          <w:left w:val="nil"/>
          <w:bottom w:val="nil"/>
          <w:right w:val="nil"/>
          <w:between w:val="nil"/>
        </w:pBdr>
        <w:tabs>
          <w:tab w:val="left" w:pos="720"/>
        </w:tabs>
        <w:spacing w:after="0" w:line="276" w:lineRule="auto"/>
        <w:ind w:left="720" w:hanging="369"/>
        <w:jc w:val="both"/>
        <w:rPr>
          <w:color w:val="000000"/>
        </w:rPr>
      </w:pPr>
      <w:r>
        <w:rPr>
          <w:rFonts w:ascii="Times New Roman" w:eastAsia="Times New Roman" w:hAnsi="Times New Roman" w:cs="Times New Roman"/>
          <w:color w:val="000000"/>
        </w:rPr>
        <w:t xml:space="preserve">PC literacy (PowerPoint, </w:t>
      </w:r>
      <w:r>
        <w:rPr>
          <w:rFonts w:ascii="Times New Roman" w:eastAsia="Times New Roman" w:hAnsi="Times New Roman" w:cs="Times New Roman"/>
          <w:color w:val="000000"/>
        </w:rPr>
        <w:t>Project, Excel, Word).</w:t>
      </w:r>
    </w:p>
    <w:p w:rsidR="007E7E04" w:rsidRDefault="009E09EE">
      <w:pPr>
        <w:numPr>
          <w:ilvl w:val="0"/>
          <w:numId w:val="2"/>
        </w:numPr>
        <w:pBdr>
          <w:top w:val="nil"/>
          <w:left w:val="nil"/>
          <w:bottom w:val="nil"/>
          <w:right w:val="nil"/>
          <w:between w:val="nil"/>
        </w:pBdr>
        <w:tabs>
          <w:tab w:val="left" w:pos="720"/>
        </w:tabs>
        <w:spacing w:after="0" w:line="276" w:lineRule="auto"/>
        <w:ind w:left="720" w:hanging="369"/>
        <w:jc w:val="both"/>
        <w:rPr>
          <w:color w:val="000000"/>
        </w:rPr>
      </w:pPr>
      <w:r>
        <w:rPr>
          <w:rFonts w:ascii="Times New Roman" w:eastAsia="Times New Roman" w:hAnsi="Times New Roman" w:cs="Times New Roman"/>
          <w:color w:val="000000"/>
        </w:rPr>
        <w:t>Impeccable ethical standards and project and time management skills.</w:t>
      </w:r>
    </w:p>
    <w:p w:rsidR="007E7E04" w:rsidRDefault="009E09EE">
      <w:pPr>
        <w:numPr>
          <w:ilvl w:val="0"/>
          <w:numId w:val="2"/>
        </w:numPr>
        <w:pBdr>
          <w:top w:val="nil"/>
          <w:left w:val="nil"/>
          <w:bottom w:val="nil"/>
          <w:right w:val="nil"/>
          <w:between w:val="nil"/>
        </w:pBdr>
        <w:tabs>
          <w:tab w:val="left" w:pos="720"/>
        </w:tabs>
        <w:spacing w:after="120" w:line="276" w:lineRule="auto"/>
        <w:ind w:left="720" w:hanging="369"/>
        <w:jc w:val="both"/>
        <w:rPr>
          <w:color w:val="000000"/>
        </w:rPr>
      </w:pPr>
      <w:r>
        <w:rPr>
          <w:rFonts w:ascii="Times New Roman" w:eastAsia="Times New Roman" w:hAnsi="Times New Roman" w:cs="Times New Roman"/>
          <w:color w:val="000000"/>
        </w:rPr>
        <w:t>Excellent command of English and Ukrainian, both written and spoken.</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i/>
          <w:iCs/>
        </w:rPr>
        <w:t>6.2 Professional Experience</w:t>
      </w:r>
    </w:p>
    <w:p w:rsidR="007E7E04" w:rsidRDefault="009E09EE">
      <w:pPr>
        <w:numPr>
          <w:ilvl w:val="0"/>
          <w:numId w:val="4"/>
        </w:numPr>
        <w:pBdr>
          <w:top w:val="nil"/>
          <w:left w:val="nil"/>
          <w:bottom w:val="nil"/>
          <w:right w:val="nil"/>
          <w:between w:val="nil"/>
        </w:pBdr>
        <w:spacing w:before="120" w:after="0" w:line="276" w:lineRule="auto"/>
        <w:ind w:right="4"/>
        <w:jc w:val="both"/>
        <w:rPr>
          <w:color w:val="000000"/>
        </w:rPr>
      </w:pPr>
      <w:r>
        <w:rPr>
          <w:rFonts w:ascii="Times New Roman" w:eastAsia="Times New Roman" w:hAnsi="Times New Roman" w:cs="Times New Roman"/>
        </w:rPr>
        <w:t>Minimum 5 years of general professional experience (working for international organisations and/or international technical assistance projects would be an advantage), of which at least 3 years of proven experience in law, economics, EU integration and/or p</w:t>
      </w:r>
      <w:r>
        <w:rPr>
          <w:rFonts w:ascii="Times New Roman" w:eastAsia="Times New Roman" w:hAnsi="Times New Roman" w:cs="Times New Roman"/>
        </w:rPr>
        <w:t xml:space="preserve">roject management, or a related field. </w:t>
      </w:r>
    </w:p>
    <w:p w:rsidR="007E7E04" w:rsidRDefault="009E09EE">
      <w:pPr>
        <w:numPr>
          <w:ilvl w:val="0"/>
          <w:numId w:val="4"/>
        </w:numPr>
        <w:pBdr>
          <w:top w:val="nil"/>
          <w:left w:val="nil"/>
          <w:bottom w:val="nil"/>
          <w:right w:val="nil"/>
          <w:between w:val="nil"/>
        </w:pBdr>
        <w:tabs>
          <w:tab w:val="left" w:pos="720"/>
        </w:tabs>
        <w:spacing w:after="120" w:line="276" w:lineRule="auto"/>
        <w:ind w:right="20"/>
        <w:jc w:val="both"/>
        <w:rPr>
          <w:color w:val="000000"/>
        </w:rPr>
      </w:pPr>
      <w:r>
        <w:rPr>
          <w:rFonts w:ascii="Times New Roman" w:eastAsia="Times New Roman" w:hAnsi="Times New Roman" w:cs="Times New Roman"/>
        </w:rPr>
        <w:t>Experience in reporting, international cooperation, donor coordination, economic research, public or business administration, and engagement with government institutions is an advantage.</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i/>
          <w:iCs/>
        </w:rPr>
        <w:t>6.3 Other Competencies</w:t>
      </w:r>
    </w:p>
    <w:p w:rsidR="007E7E04" w:rsidRDefault="009E09EE">
      <w:pPr>
        <w:numPr>
          <w:ilvl w:val="0"/>
          <w:numId w:val="12"/>
        </w:numPr>
        <w:pBdr>
          <w:top w:val="nil"/>
          <w:left w:val="nil"/>
          <w:bottom w:val="nil"/>
          <w:right w:val="nil"/>
          <w:between w:val="nil"/>
        </w:pBdr>
        <w:tabs>
          <w:tab w:val="left" w:pos="720"/>
        </w:tabs>
        <w:spacing w:before="120" w:after="0" w:line="276" w:lineRule="auto"/>
        <w:jc w:val="both"/>
        <w:rPr>
          <w:color w:val="000000"/>
        </w:rPr>
      </w:pPr>
      <w:r>
        <w:rPr>
          <w:rFonts w:ascii="Times New Roman" w:eastAsia="Times New Roman" w:hAnsi="Times New Roman" w:cs="Times New Roman"/>
          <w:color w:val="000000"/>
        </w:rPr>
        <w:t xml:space="preserve">Proven experience in engaging with various stakeholders, including government officials, civil society organisations, and international donors.  </w:t>
      </w:r>
    </w:p>
    <w:p w:rsidR="007E7E04" w:rsidRDefault="009E09EE">
      <w:pPr>
        <w:numPr>
          <w:ilvl w:val="0"/>
          <w:numId w:val="12"/>
        </w:numPr>
        <w:pBdr>
          <w:top w:val="nil"/>
          <w:left w:val="nil"/>
          <w:bottom w:val="nil"/>
          <w:right w:val="nil"/>
          <w:between w:val="nil"/>
        </w:pBdr>
        <w:spacing w:after="0" w:line="276" w:lineRule="auto"/>
        <w:jc w:val="both"/>
        <w:rPr>
          <w:color w:val="000000"/>
        </w:rPr>
      </w:pPr>
      <w:r>
        <w:rPr>
          <w:rFonts w:ascii="Times New Roman" w:eastAsia="Times New Roman" w:hAnsi="Times New Roman" w:cs="Times New Roman"/>
          <w:color w:val="000000"/>
        </w:rPr>
        <w:t xml:space="preserve">Familiarity with Ukraine’s reform and recovery agenda and EU integration process. </w:t>
      </w:r>
    </w:p>
    <w:p w:rsidR="007E7E04" w:rsidRDefault="009E09EE">
      <w:pPr>
        <w:numPr>
          <w:ilvl w:val="0"/>
          <w:numId w:val="12"/>
        </w:numPr>
        <w:pBdr>
          <w:top w:val="nil"/>
          <w:left w:val="nil"/>
          <w:bottom w:val="nil"/>
          <w:right w:val="nil"/>
          <w:between w:val="nil"/>
        </w:pBdr>
        <w:spacing w:after="120" w:line="276" w:lineRule="auto"/>
        <w:jc w:val="both"/>
        <w:rPr>
          <w:color w:val="000000"/>
        </w:rPr>
      </w:pPr>
      <w:r>
        <w:rPr>
          <w:rFonts w:ascii="Times New Roman" w:eastAsia="Times New Roman" w:hAnsi="Times New Roman" w:cs="Times New Roman"/>
          <w:color w:val="000000"/>
        </w:rPr>
        <w:t>Good understanding of polic</w:t>
      </w:r>
      <w:r>
        <w:rPr>
          <w:rFonts w:ascii="Times New Roman" w:eastAsia="Times New Roman" w:hAnsi="Times New Roman" w:cs="Times New Roman"/>
          <w:color w:val="000000"/>
        </w:rPr>
        <w:t>y formulation processes and policy dialogues.</w:t>
      </w:r>
    </w:p>
    <w:p w:rsidR="007E7E04" w:rsidRDefault="009E09EE">
      <w:pPr>
        <w:tabs>
          <w:tab w:val="left" w:pos="36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7. Funding Source</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The funding source of this assignment is the EBRD Ukraine Stabilisation and Sustainable Growth Multi-Donor Account (MDA), contributors to which are Austria, Denmark, Finland, France, Germany, </w:t>
      </w:r>
      <w:r>
        <w:rPr>
          <w:rFonts w:ascii="Times New Roman" w:eastAsia="Times New Roman" w:hAnsi="Times New Roman" w:cs="Times New Roman"/>
        </w:rPr>
        <w:t>Italy, Japan, Latvia, the Netherlands, Norway, Poland, Slovenia, Sweden, Switzerland, the United Kingdom, the United States, and the European Union.</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Please note that selection and contracting will be subject to the availability of funding.</w:t>
      </w:r>
    </w:p>
    <w:p w:rsidR="007E7E04" w:rsidRDefault="009E09EE">
      <w:pPr>
        <w:tabs>
          <w:tab w:val="left" w:pos="34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8.</w:t>
      </w:r>
      <w:r>
        <w:rPr>
          <w:rFonts w:ascii="Times New Roman" w:eastAsia="Times New Roman" w:hAnsi="Times New Roman" w:cs="Times New Roman"/>
        </w:rPr>
        <w:tab/>
      </w:r>
      <w:r>
        <w:rPr>
          <w:rFonts w:ascii="Times New Roman" w:eastAsia="Times New Roman" w:hAnsi="Times New Roman" w:cs="Times New Roman"/>
          <w:b/>
          <w:bCs/>
        </w:rPr>
        <w:t>Submissions</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 xml:space="preserve">Submissions must be prepared in English only and be delivered electronically by 23:59 (Kyiv time) </w:t>
      </w:r>
      <w:r w:rsidR="006E5001">
        <w:rPr>
          <w:rFonts w:ascii="Times New Roman" w:eastAsia="Times New Roman" w:hAnsi="Times New Roman" w:cs="Times New Roman"/>
          <w:lang w:val="en-US"/>
        </w:rPr>
        <w:t>November</w:t>
      </w:r>
      <w:r>
        <w:rPr>
          <w:rFonts w:ascii="Times New Roman" w:eastAsia="Times New Roman" w:hAnsi="Times New Roman" w:cs="Times New Roman"/>
        </w:rPr>
        <w:t xml:space="preserve"> </w:t>
      </w:r>
      <w:r w:rsidR="006E5001">
        <w:rPr>
          <w:rFonts w:ascii="Times New Roman" w:eastAsia="Times New Roman" w:hAnsi="Times New Roman" w:cs="Times New Roman"/>
          <w:lang w:val="uk-UA"/>
        </w:rPr>
        <w:t>19</w:t>
      </w:r>
      <w:r>
        <w:rPr>
          <w:rFonts w:ascii="Times New Roman" w:eastAsia="Times New Roman" w:hAnsi="Times New Roman" w:cs="Times New Roman"/>
        </w:rPr>
        <w:t xml:space="preserve">, 2026, to </w:t>
      </w:r>
      <w:hyperlink r:id="rId8">
        <w:r>
          <w:rPr>
            <w:rFonts w:ascii="Times New Roman" w:eastAsia="Times New Roman" w:hAnsi="Times New Roman" w:cs="Times New Roman"/>
            <w:color w:val="467886"/>
            <w:u w:val="single"/>
          </w:rPr>
          <w:t>rdo@kmu.gov.ua</w:t>
        </w:r>
      </w:hyperlink>
      <w:r>
        <w:rPr>
          <w:rFonts w:ascii="Times New Roman" w:eastAsia="Times New Roman" w:hAnsi="Times New Roman" w:cs="Times New Roman"/>
        </w:rPr>
        <w:t xml:space="preserve">. All submissions must include a completed </w:t>
      </w:r>
      <w:hyperlink r:id="rId9">
        <w:r>
          <w:rPr>
            <w:rFonts w:ascii="Times New Roman" w:eastAsia="Times New Roman" w:hAnsi="Times New Roman" w:cs="Times New Roman"/>
            <w:color w:val="1155CC"/>
            <w:u w:val="single"/>
          </w:rPr>
          <w:t>Application Form</w:t>
        </w:r>
      </w:hyperlink>
      <w:r>
        <w:rPr>
          <w:rFonts w:ascii="Times New Roman" w:eastAsia="Times New Roman" w:hAnsi="Times New Roman" w:cs="Times New Roman"/>
        </w:rPr>
        <w:t>, the candidate’s Curriculum Vitae, the</w:t>
      </w:r>
      <w:hyperlink r:id="rId10">
        <w:r>
          <w:rPr>
            <w:rFonts w:ascii="Times New Roman" w:eastAsia="Times New Roman" w:hAnsi="Times New Roman" w:cs="Times New Roman"/>
            <w:color w:val="1155CC"/>
            <w:u w:val="single"/>
          </w:rPr>
          <w:t xml:space="preserve"> NDA form</w:t>
        </w:r>
      </w:hyperlink>
      <w:r>
        <w:rPr>
          <w:rFonts w:ascii="Times New Roman" w:eastAsia="Times New Roman" w:hAnsi="Times New Roman" w:cs="Times New Roman"/>
        </w:rPr>
        <w:t xml:space="preserve">, and the contact details of three referees who, if contacted, can attest to the professional and/or educational background of the candidate. </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Only applications which are submitted using the correct template and are fully completed will be considered.</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Important notice: only Ukrainian nati</w:t>
      </w:r>
      <w:bookmarkStart w:id="0" w:name="_GoBack"/>
      <w:bookmarkEnd w:id="0"/>
      <w:r>
        <w:rPr>
          <w:rFonts w:ascii="Times New Roman" w:eastAsia="Times New Roman" w:hAnsi="Times New Roman" w:cs="Times New Roman"/>
          <w:b/>
          <w:bCs/>
        </w:rPr>
        <w:t>onals are eligible to apply; civil servants are not eligible to apply unless 6 months have elapsed since the c</w:t>
      </w:r>
      <w:r>
        <w:rPr>
          <w:rFonts w:ascii="Times New Roman" w:eastAsia="Times New Roman" w:hAnsi="Times New Roman" w:cs="Times New Roman"/>
          <w:b/>
          <w:bCs/>
        </w:rPr>
        <w:t>ivil service employment.</w:t>
      </w:r>
    </w:p>
    <w:p w:rsidR="007E7E04" w:rsidRDefault="009E09EE">
      <w:pPr>
        <w:tabs>
          <w:tab w:val="left" w:pos="340"/>
        </w:tabs>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b/>
          <w:bCs/>
        </w:rPr>
        <w:t>9.</w:t>
      </w:r>
      <w:r>
        <w:rPr>
          <w:rFonts w:ascii="Times New Roman" w:eastAsia="Times New Roman" w:hAnsi="Times New Roman" w:cs="Times New Roman"/>
        </w:rPr>
        <w:tab/>
      </w:r>
      <w:r>
        <w:rPr>
          <w:rFonts w:ascii="Times New Roman" w:eastAsia="Times New Roman" w:hAnsi="Times New Roman" w:cs="Times New Roman"/>
          <w:b/>
          <w:bCs/>
        </w:rPr>
        <w:t>Selection Procedure</w:t>
      </w:r>
    </w:p>
    <w:p w:rsidR="007E7E04" w:rsidRDefault="009E09EE">
      <w:pPr>
        <w:spacing w:before="120" w:after="120" w:line="276" w:lineRule="auto"/>
        <w:jc w:val="both"/>
        <w:rPr>
          <w:rFonts w:ascii="Times New Roman" w:eastAsia="Times New Roman" w:hAnsi="Times New Roman" w:cs="Times New Roman"/>
        </w:rPr>
      </w:pPr>
      <w:r>
        <w:rPr>
          <w:rFonts w:ascii="Times New Roman" w:eastAsia="Times New Roman" w:hAnsi="Times New Roman" w:cs="Times New Roman"/>
        </w:rPr>
        <w:t>Following the evaluation of all applications received, selected candidates may be invited to a written test. Only shortlisted candidates will be invited to the interview.</w:t>
      </w:r>
    </w:p>
    <w:p w:rsidR="007E7E04" w:rsidRDefault="007E7E04">
      <w:pPr>
        <w:spacing w:before="120" w:after="120" w:line="276" w:lineRule="auto"/>
        <w:rPr>
          <w:rFonts w:ascii="Times New Roman" w:eastAsia="Times New Roman" w:hAnsi="Times New Roman" w:cs="Times New Roman"/>
        </w:rPr>
      </w:pPr>
    </w:p>
    <w:sectPr w:rsidR="007E7E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09EE" w:rsidRDefault="009E09EE">
      <w:pPr>
        <w:spacing w:after="0" w:line="240" w:lineRule="auto"/>
      </w:pPr>
      <w:r>
        <w:separator/>
      </w:r>
    </w:p>
  </w:endnote>
  <w:endnote w:type="continuationSeparator" w:id="0">
    <w:p w:rsidR="009E09EE" w:rsidRDefault="009E0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31F6BCE0-E2CB-4096-80A8-02451F75B9A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charset w:val="00"/>
    <w:family w:val="auto"/>
    <w:pitch w:val="default"/>
    <w:embedRegular r:id="rId2" w:fontKey="{F2AF7A8F-A088-4310-BB22-EE9F6CA7746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09E4CEFD-DB83-4AA2-8458-2F478780F30F}"/>
  </w:font>
  <w:font w:name="Cambria">
    <w:panose1 w:val="02040503050406030204"/>
    <w:charset w:val="00"/>
    <w:family w:val="roman"/>
    <w:pitch w:val="variable"/>
    <w:sig w:usb0="E00006FF" w:usb1="420024FF" w:usb2="02000000" w:usb3="00000000" w:csb0="0000019F" w:csb1="00000000"/>
    <w:embedRegular r:id="rId4" w:fontKey="{66E40C3C-8AEB-488F-9DAF-D4BA6EC3B2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E04" w:rsidRDefault="009E09EE">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0" distB="0" distL="0" distR="0" simplePos="0" relativeHeight="251666432" behindDoc="0" locked="0" layoutInCell="1" hidden="0" allowOverlap="1">
              <wp:simplePos x="0" y="0"/>
              <wp:positionH relativeFrom="column">
                <wp:posOffset>1695450</wp:posOffset>
              </wp:positionH>
              <wp:positionV relativeFrom="paragraph">
                <wp:posOffset>-23803</wp:posOffset>
              </wp:positionV>
              <wp:extent cx="723900" cy="400050"/>
              <wp:effectExtent l="0" t="0" r="0" b="0"/>
              <wp:wrapNone/>
              <wp:docPr id="13" name="Rectangle 13" descr="OFFICIAL USE"/>
              <wp:cNvGraphicFramePr/>
              <a:graphic xmlns:a="http://schemas.openxmlformats.org/drawingml/2006/main">
                <a:graphicData uri="http://schemas.microsoft.com/office/word/2010/wordprocessingShape">
                  <wps:wsp>
                    <wps:cNvSpPr/>
                    <wps:spPr>
                      <a:xfrm>
                        <a:off x="5007863" y="3603788"/>
                        <a:ext cx="676275" cy="352425"/>
                      </a:xfrm>
                      <a:prstGeom prst="rect">
                        <a:avLst/>
                      </a:prstGeom>
                      <a:noFill/>
                      <a:ln>
                        <a:noFill/>
                      </a:ln>
                    </wps:spPr>
                    <wps:txbx>
                      <w:txbxContent>
                        <w:p w:rsidR="007E7E04" w:rsidRDefault="009E09EE">
                          <w:pPr>
                            <w:spacing w:after="0"/>
                            <w:textDirection w:val="btLr"/>
                          </w:pPr>
                          <w:r>
                            <w:rPr>
                              <w:rFonts w:ascii="Calibri" w:eastAsia="Calibri" w:hAnsi="Calibri" w:cs="Calibri"/>
                              <w:color w:val="0000FF"/>
                              <w:sz w:val="20"/>
                            </w:rPr>
                            <w:t>OFFICIAL USE</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1695450</wp:posOffset>
              </wp:positionH>
              <wp:positionV relativeFrom="paragraph">
                <wp:posOffset>-23803</wp:posOffset>
              </wp:positionV>
              <wp:extent cx="723900" cy="400050"/>
              <wp:effectExtent b="0" l="0" r="0" t="0"/>
              <wp:wrapNone/>
              <wp:docPr descr="OFFICIAL USE" id="13" name="image1.png"/>
              <a:graphic>
                <a:graphicData uri="http://schemas.openxmlformats.org/drawingml/2006/picture">
                  <pic:pic>
                    <pic:nvPicPr>
                      <pic:cNvPr descr="OFFICIAL USE" id="0" name="image1.png"/>
                      <pic:cNvPicPr preferRelativeResize="0"/>
                    </pic:nvPicPr>
                    <pic:blipFill>
                      <a:blip r:embed="rId1"/>
                      <a:srcRect/>
                      <a:stretch>
                        <a:fillRect/>
                      </a:stretch>
                    </pic:blipFill>
                    <pic:spPr>
                      <a:xfrm>
                        <a:off x="0" y="0"/>
                        <a:ext cx="723900" cy="400050"/>
                      </a:xfrm>
                      <a:prstGeom prst="rect"/>
                      <a:ln/>
                    </pic:spPr>
                  </pic:pic>
                </a:graphicData>
              </a:graphic>
            </wp:anchor>
          </w:drawing>
        </mc:Fallback>
      </mc:AlternateContent>
    </w:r>
    <w:r>
      <w:rPr>
        <w:noProof/>
      </w:rPr>
      <mc:AlternateContent>
        <mc:Choice Requires="wpg">
          <w:drawing>
            <wp:anchor distT="0" distB="0" distL="0" distR="0" simplePos="0" relativeHeight="251667456" behindDoc="0" locked="0" layoutInCell="1" hidden="0" allowOverlap="1">
              <wp:simplePos x="0" y="0"/>
              <wp:positionH relativeFrom="column">
                <wp:posOffset>1661161</wp:posOffset>
              </wp:positionH>
              <wp:positionV relativeFrom="paragraph">
                <wp:posOffset>-9445069</wp:posOffset>
              </wp:positionV>
              <wp:extent cx="792480" cy="389890"/>
              <wp:effectExtent l="0" t="0" r="0" b="0"/>
              <wp:wrapNone/>
              <wp:docPr id="16" name="Rectangle 16" descr="OFFICIAL USE"/>
              <wp:cNvGraphicFramePr/>
              <a:graphic xmlns:a="http://schemas.openxmlformats.org/drawingml/2006/main">
                <a:graphicData uri="http://schemas.microsoft.com/office/word/2010/wordprocessingShape">
                  <wps:wsp>
                    <wps:cNvSpPr/>
                    <wps:spPr>
                      <a:xfrm>
                        <a:off x="4959285" y="3594580"/>
                        <a:ext cx="773430" cy="370840"/>
                      </a:xfrm>
                      <a:prstGeom prst="rect">
                        <a:avLst/>
                      </a:prstGeom>
                      <a:noFill/>
                      <a:ln>
                        <a:noFill/>
                      </a:ln>
                    </wps:spPr>
                    <wps:txbx>
                      <w:txbxContent>
                        <w:p w:rsidR="007E7E04" w:rsidRDefault="009E09EE">
                          <w:pPr>
                            <w:spacing w:after="0"/>
                            <w:textDirection w:val="btLr"/>
                          </w:pPr>
                          <w:r>
                            <w:rPr>
                              <w:color w:val="0000FF"/>
                              <w:sz w:val="20"/>
                            </w:rPr>
                            <w:t>OFFICIAL USE</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1661161</wp:posOffset>
              </wp:positionH>
              <wp:positionV relativeFrom="paragraph">
                <wp:posOffset>-9445069</wp:posOffset>
              </wp:positionV>
              <wp:extent cx="792480" cy="389890"/>
              <wp:effectExtent b="0" l="0" r="0" t="0"/>
              <wp:wrapNone/>
              <wp:docPr descr="OFFICIAL USE" id="16" name="image4.png"/>
              <a:graphic>
                <a:graphicData uri="http://schemas.openxmlformats.org/drawingml/2006/picture">
                  <pic:pic>
                    <pic:nvPicPr>
                      <pic:cNvPr descr="OFFICIAL USE" id="0" name="image4.png"/>
                      <pic:cNvPicPr preferRelativeResize="0"/>
                    </pic:nvPicPr>
                    <pic:blipFill>
                      <a:blip r:embed="rId1"/>
                      <a:srcRect/>
                      <a:stretch>
                        <a:fillRect/>
                      </a:stretch>
                    </pic:blipFill>
                    <pic:spPr>
                      <a:xfrm>
                        <a:off x="0" y="0"/>
                        <a:ext cx="792480" cy="38989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E04" w:rsidRDefault="009E09EE">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0" distB="0" distL="0" distR="0" simplePos="0" relativeHeight="251663360" behindDoc="0" locked="0" layoutInCell="1" hidden="0" allowOverlap="1">
              <wp:simplePos x="0" y="0"/>
              <wp:positionH relativeFrom="column">
                <wp:posOffset>2571433</wp:posOffset>
              </wp:positionH>
              <wp:positionV relativeFrom="paragraph">
                <wp:posOffset>-54926</wp:posOffset>
              </wp:positionV>
              <wp:extent cx="723900" cy="400050"/>
              <wp:effectExtent l="0" t="0" r="0" b="0"/>
              <wp:wrapNone/>
              <wp:docPr id="14" name="Rectangle 14" descr="OFFICIAL USE"/>
              <wp:cNvGraphicFramePr/>
              <a:graphic xmlns:a="http://schemas.openxmlformats.org/drawingml/2006/main">
                <a:graphicData uri="http://schemas.microsoft.com/office/word/2010/wordprocessingShape">
                  <wps:wsp>
                    <wps:cNvSpPr/>
                    <wps:spPr>
                      <a:xfrm>
                        <a:off x="4988813" y="3584738"/>
                        <a:ext cx="714375" cy="390525"/>
                      </a:xfrm>
                      <a:prstGeom prst="rect">
                        <a:avLst/>
                      </a:prstGeom>
                      <a:noFill/>
                      <a:ln>
                        <a:noFill/>
                      </a:ln>
                    </wps:spPr>
                    <wps:txbx>
                      <w:txbxContent>
                        <w:p w:rsidR="007E7E04" w:rsidRDefault="009E09EE">
                          <w:pPr>
                            <w:spacing w:after="0"/>
                            <w:textDirection w:val="btLr"/>
                          </w:pPr>
                          <w:r>
                            <w:rPr>
                              <w:rFonts w:ascii="Calibri" w:eastAsia="Calibri" w:hAnsi="Calibri" w:cs="Calibri"/>
                              <w:color w:val="0000FF"/>
                              <w:sz w:val="20"/>
                            </w:rPr>
                            <w:t>OFFICIAL USE</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2571433</wp:posOffset>
              </wp:positionH>
              <wp:positionV relativeFrom="paragraph">
                <wp:posOffset>-54926</wp:posOffset>
              </wp:positionV>
              <wp:extent cx="723900" cy="400050"/>
              <wp:effectExtent b="0" l="0" r="0" t="0"/>
              <wp:wrapNone/>
              <wp:docPr descr="OFFICIAL USE" id="14" name="image2.png"/>
              <a:graphic>
                <a:graphicData uri="http://schemas.openxmlformats.org/drawingml/2006/picture">
                  <pic:pic>
                    <pic:nvPicPr>
                      <pic:cNvPr descr="OFFICIAL USE" id="0" name="image2.png"/>
                      <pic:cNvPicPr preferRelativeResize="0"/>
                    </pic:nvPicPr>
                    <pic:blipFill>
                      <a:blip r:embed="rId1"/>
                      <a:srcRect/>
                      <a:stretch>
                        <a:fillRect/>
                      </a:stretch>
                    </pic:blipFill>
                    <pic:spPr>
                      <a:xfrm>
                        <a:off x="0" y="0"/>
                        <a:ext cx="723900" cy="40005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E04" w:rsidRDefault="009E09EE">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0" distB="0" distL="0" distR="0" simplePos="0" relativeHeight="251664384" behindDoc="0" locked="0" layoutInCell="1" hidden="0" allowOverlap="1">
              <wp:simplePos x="0" y="0"/>
              <wp:positionH relativeFrom="column">
                <wp:posOffset>1695450</wp:posOffset>
              </wp:positionH>
              <wp:positionV relativeFrom="paragraph">
                <wp:posOffset>-23803</wp:posOffset>
              </wp:positionV>
              <wp:extent cx="723900" cy="400050"/>
              <wp:effectExtent l="0" t="0" r="0" b="0"/>
              <wp:wrapNone/>
              <wp:docPr id="18" name="Rectangle 18" descr="OFFICIAL USE"/>
              <wp:cNvGraphicFramePr/>
              <a:graphic xmlns:a="http://schemas.openxmlformats.org/drawingml/2006/main">
                <a:graphicData uri="http://schemas.microsoft.com/office/word/2010/wordprocessingShape">
                  <wps:wsp>
                    <wps:cNvSpPr/>
                    <wps:spPr>
                      <a:xfrm>
                        <a:off x="5007863" y="3603788"/>
                        <a:ext cx="676275" cy="352425"/>
                      </a:xfrm>
                      <a:prstGeom prst="rect">
                        <a:avLst/>
                      </a:prstGeom>
                      <a:noFill/>
                      <a:ln>
                        <a:noFill/>
                      </a:ln>
                    </wps:spPr>
                    <wps:txbx>
                      <w:txbxContent>
                        <w:p w:rsidR="007E7E04" w:rsidRDefault="009E09EE">
                          <w:pPr>
                            <w:spacing w:after="0"/>
                            <w:textDirection w:val="btLr"/>
                          </w:pPr>
                          <w:r>
                            <w:rPr>
                              <w:rFonts w:ascii="Calibri" w:eastAsia="Calibri" w:hAnsi="Calibri" w:cs="Calibri"/>
                              <w:color w:val="0000FF"/>
                              <w:sz w:val="20"/>
                            </w:rPr>
                            <w:t>OFFICIAL USE</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1695450</wp:posOffset>
              </wp:positionH>
              <wp:positionV relativeFrom="paragraph">
                <wp:posOffset>-23803</wp:posOffset>
              </wp:positionV>
              <wp:extent cx="723900" cy="400050"/>
              <wp:effectExtent b="0" l="0" r="0" t="0"/>
              <wp:wrapNone/>
              <wp:docPr descr="OFFICIAL USE" id="18" name="image6.png"/>
              <a:graphic>
                <a:graphicData uri="http://schemas.openxmlformats.org/drawingml/2006/picture">
                  <pic:pic>
                    <pic:nvPicPr>
                      <pic:cNvPr descr="OFFICIAL USE" id="0" name="image6.png"/>
                      <pic:cNvPicPr preferRelativeResize="0"/>
                    </pic:nvPicPr>
                    <pic:blipFill>
                      <a:blip r:embed="rId1"/>
                      <a:srcRect/>
                      <a:stretch>
                        <a:fillRect/>
                      </a:stretch>
                    </pic:blipFill>
                    <pic:spPr>
                      <a:xfrm>
                        <a:off x="0" y="0"/>
                        <a:ext cx="723900" cy="400050"/>
                      </a:xfrm>
                      <a:prstGeom prst="rect"/>
                      <a:ln/>
                    </pic:spPr>
                  </pic:pic>
                </a:graphicData>
              </a:graphic>
            </wp:anchor>
          </w:drawing>
        </mc:Fallback>
      </mc:AlternateContent>
    </w:r>
    <w:r>
      <w:rPr>
        <w:noProof/>
      </w:rPr>
      <mc:AlternateContent>
        <mc:Choice Requires="wpg">
          <w:drawing>
            <wp:anchor distT="0" distB="0" distL="0" distR="0" simplePos="0" relativeHeight="251665408" behindDoc="0" locked="0" layoutInCell="1" hidden="0" allowOverlap="1">
              <wp:simplePos x="0" y="0"/>
              <wp:positionH relativeFrom="column">
                <wp:posOffset>1661161</wp:posOffset>
              </wp:positionH>
              <wp:positionV relativeFrom="paragraph">
                <wp:posOffset>-9445069</wp:posOffset>
              </wp:positionV>
              <wp:extent cx="792480" cy="389890"/>
              <wp:effectExtent l="0" t="0" r="0" b="0"/>
              <wp:wrapNone/>
              <wp:docPr id="21" name="Rectangle 21" descr="OFFICIAL USE"/>
              <wp:cNvGraphicFramePr/>
              <a:graphic xmlns:a="http://schemas.openxmlformats.org/drawingml/2006/main">
                <a:graphicData uri="http://schemas.microsoft.com/office/word/2010/wordprocessingShape">
                  <wps:wsp>
                    <wps:cNvSpPr/>
                    <wps:spPr>
                      <a:xfrm>
                        <a:off x="4959285" y="3594580"/>
                        <a:ext cx="773430" cy="370840"/>
                      </a:xfrm>
                      <a:prstGeom prst="rect">
                        <a:avLst/>
                      </a:prstGeom>
                      <a:noFill/>
                      <a:ln>
                        <a:noFill/>
                      </a:ln>
                    </wps:spPr>
                    <wps:txbx>
                      <w:txbxContent>
                        <w:p w:rsidR="007E7E04" w:rsidRDefault="009E09EE">
                          <w:pPr>
                            <w:spacing w:after="0"/>
                            <w:textDirection w:val="btLr"/>
                          </w:pPr>
                          <w:r>
                            <w:rPr>
                              <w:color w:val="0000FF"/>
                              <w:sz w:val="20"/>
                            </w:rPr>
                            <w:t>OFFICIAL USE</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1661161</wp:posOffset>
              </wp:positionH>
              <wp:positionV relativeFrom="paragraph">
                <wp:posOffset>-9445069</wp:posOffset>
              </wp:positionV>
              <wp:extent cx="792480" cy="389890"/>
              <wp:effectExtent b="0" l="0" r="0" t="0"/>
              <wp:wrapNone/>
              <wp:docPr descr="OFFICIAL USE" id="21" name="image9.png"/>
              <a:graphic>
                <a:graphicData uri="http://schemas.openxmlformats.org/drawingml/2006/picture">
                  <pic:pic>
                    <pic:nvPicPr>
                      <pic:cNvPr descr="OFFICIAL USE" id="0" name="image9.png"/>
                      <pic:cNvPicPr preferRelativeResize="0"/>
                    </pic:nvPicPr>
                    <pic:blipFill>
                      <a:blip r:embed="rId1"/>
                      <a:srcRect/>
                      <a:stretch>
                        <a:fillRect/>
                      </a:stretch>
                    </pic:blipFill>
                    <pic:spPr>
                      <a:xfrm>
                        <a:off x="0" y="0"/>
                        <a:ext cx="792480" cy="38989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09EE" w:rsidRDefault="009E09EE">
      <w:pPr>
        <w:spacing w:after="0" w:line="240" w:lineRule="auto"/>
      </w:pPr>
      <w:r>
        <w:separator/>
      </w:r>
    </w:p>
  </w:footnote>
  <w:footnote w:type="continuationSeparator" w:id="0">
    <w:p w:rsidR="009E09EE" w:rsidRDefault="009E0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E04" w:rsidRDefault="009E09EE">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g">
          <w:drawing>
            <wp:anchor distT="0" distB="0" distL="0" distR="0" simplePos="0" relativeHeight="251661312" behindDoc="0" locked="0" layoutInCell="1" hidden="0" allowOverlap="1">
              <wp:simplePos x="0" y="0"/>
              <wp:positionH relativeFrom="page">
                <wp:align>center</wp:align>
              </wp:positionH>
              <wp:positionV relativeFrom="page">
                <wp:align>top</wp:align>
              </wp:positionV>
              <wp:extent cx="792480" cy="389890"/>
              <wp:effectExtent l="0" t="0" r="0" b="0"/>
              <wp:wrapNone/>
              <wp:docPr id="15" name="Rectangle 15" descr="OFFICIAL USE"/>
              <wp:cNvGraphicFramePr/>
              <a:graphic xmlns:a="http://schemas.openxmlformats.org/drawingml/2006/main">
                <a:graphicData uri="http://schemas.microsoft.com/office/word/2010/wordprocessingShape">
                  <wps:wsp>
                    <wps:cNvSpPr/>
                    <wps:spPr>
                      <a:xfrm>
                        <a:off x="4959285" y="3594580"/>
                        <a:ext cx="773430" cy="370840"/>
                      </a:xfrm>
                      <a:prstGeom prst="rect">
                        <a:avLst/>
                      </a:prstGeom>
                      <a:noFill/>
                      <a:ln>
                        <a:noFill/>
                      </a:ln>
                    </wps:spPr>
                    <wps:txbx>
                      <w:txbxContent>
                        <w:p w:rsidR="007E7E04" w:rsidRDefault="009E09EE">
                          <w:pPr>
                            <w:spacing w:after="0"/>
                            <w:textDirection w:val="btLr"/>
                          </w:pPr>
                          <w:r>
                            <w:rPr>
                              <w:color w:val="0000FF"/>
                              <w:sz w:val="20"/>
                            </w:rPr>
                            <w:t>OFFICIAL USE</w:t>
                          </w:r>
                        </w:p>
                      </w:txbxContent>
                    </wps:txbx>
                    <wps:bodyPr spcFirstLastPara="1" wrap="square" lIns="0" tIns="19050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92480" cy="389890"/>
              <wp:effectExtent b="0" l="0" r="0" t="0"/>
              <wp:wrapNone/>
              <wp:docPr descr="OFFICIAL USE" id="15" name="image3.png"/>
              <a:graphic>
                <a:graphicData uri="http://schemas.openxmlformats.org/drawingml/2006/picture">
                  <pic:pic>
                    <pic:nvPicPr>
                      <pic:cNvPr descr="OFFICIAL USE" id="0" name="image3.png"/>
                      <pic:cNvPicPr preferRelativeResize="0"/>
                    </pic:nvPicPr>
                    <pic:blipFill>
                      <a:blip r:embed="rId1"/>
                      <a:srcRect/>
                      <a:stretch>
                        <a:fillRect/>
                      </a:stretch>
                    </pic:blipFill>
                    <pic:spPr>
                      <a:xfrm>
                        <a:off x="0" y="0"/>
                        <a:ext cx="792480" cy="389890"/>
                      </a:xfrm>
                      <a:prstGeom prst="rect"/>
                      <a:ln/>
                    </pic:spPr>
                  </pic:pic>
                </a:graphicData>
              </a:graphic>
            </wp:anchor>
          </w:drawing>
        </mc:Fallback>
      </mc:AlternateContent>
    </w:r>
    <w:r>
      <w:rPr>
        <w:noProof/>
        <w:color w:val="000000"/>
      </w:rPr>
      <mc:AlternateContent>
        <mc:Choice Requires="wpg">
          <w:drawing>
            <wp:anchor distT="0" distB="0" distL="0" distR="0" simplePos="0" relativeHeight="251662336" behindDoc="0" locked="0" layoutInCell="1" hidden="0" allowOverlap="1">
              <wp:simplePos x="0" y="0"/>
              <wp:positionH relativeFrom="page">
                <wp:align>center</wp:align>
              </wp:positionH>
              <wp:positionV relativeFrom="page">
                <wp:align>top</wp:align>
              </wp:positionV>
              <wp:extent cx="723900" cy="400050"/>
              <wp:effectExtent l="0" t="0" r="0" b="0"/>
              <wp:wrapNone/>
              <wp:docPr id="22" name="Rectangle 22" descr="OFFICIAL USE"/>
              <wp:cNvGraphicFramePr/>
              <a:graphic xmlns:a="http://schemas.openxmlformats.org/drawingml/2006/main">
                <a:graphicData uri="http://schemas.microsoft.com/office/word/2010/wordprocessingShape">
                  <wps:wsp>
                    <wps:cNvSpPr/>
                    <wps:spPr>
                      <a:xfrm>
                        <a:off x="5007863" y="3603788"/>
                        <a:ext cx="676275" cy="352425"/>
                      </a:xfrm>
                      <a:prstGeom prst="rect">
                        <a:avLst/>
                      </a:prstGeom>
                      <a:noFill/>
                      <a:ln>
                        <a:noFill/>
                      </a:ln>
                    </wps:spPr>
                    <wps:txbx>
                      <w:txbxContent>
                        <w:p w:rsidR="007E7E04" w:rsidRDefault="009E09EE">
                          <w:pPr>
                            <w:spacing w:after="0"/>
                            <w:textDirection w:val="btLr"/>
                          </w:pPr>
                          <w:r>
                            <w:rPr>
                              <w:rFonts w:ascii="Calibri" w:eastAsia="Calibri" w:hAnsi="Calibri" w:cs="Calibri"/>
                              <w:color w:val="0000FF"/>
                              <w:sz w:val="20"/>
                            </w:rPr>
                            <w:t>OFFICIAL USE</w:t>
                          </w:r>
                        </w:p>
                      </w:txbxContent>
                    </wps:txbx>
                    <wps:bodyPr spcFirstLastPara="1" wrap="square" lIns="0" tIns="19050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23900" cy="400050"/>
              <wp:effectExtent b="0" l="0" r="0" t="0"/>
              <wp:wrapNone/>
              <wp:docPr descr="OFFICIAL USE" id="22" name="image10.png"/>
              <a:graphic>
                <a:graphicData uri="http://schemas.openxmlformats.org/drawingml/2006/picture">
                  <pic:pic>
                    <pic:nvPicPr>
                      <pic:cNvPr descr="OFFICIAL USE" id="0" name="image10.png"/>
                      <pic:cNvPicPr preferRelativeResize="0"/>
                    </pic:nvPicPr>
                    <pic:blipFill>
                      <a:blip r:embed="rId1"/>
                      <a:srcRect/>
                      <a:stretch>
                        <a:fillRect/>
                      </a:stretch>
                    </pic:blipFill>
                    <pic:spPr>
                      <a:xfrm>
                        <a:off x="0" y="0"/>
                        <a:ext cx="723900" cy="40005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E04" w:rsidRDefault="009E09EE">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g">
          <w:drawing>
            <wp:anchor distT="0" distB="0" distL="0" distR="0" simplePos="0" relativeHeight="251658240" behindDoc="0" locked="0" layoutInCell="1" hidden="0" allowOverlap="1">
              <wp:simplePos x="0" y="0"/>
              <wp:positionH relativeFrom="page">
                <wp:align>center</wp:align>
              </wp:positionH>
              <wp:positionV relativeFrom="page">
                <wp:align>top</wp:align>
              </wp:positionV>
              <wp:extent cx="792480" cy="389890"/>
              <wp:effectExtent l="0" t="0" r="0" b="0"/>
              <wp:wrapNone/>
              <wp:docPr id="17" name="Rectangle 17" descr="OFFICIAL USE"/>
              <wp:cNvGraphicFramePr/>
              <a:graphic xmlns:a="http://schemas.openxmlformats.org/drawingml/2006/main">
                <a:graphicData uri="http://schemas.microsoft.com/office/word/2010/wordprocessingShape">
                  <wps:wsp>
                    <wps:cNvSpPr/>
                    <wps:spPr>
                      <a:xfrm>
                        <a:off x="4959285" y="3594580"/>
                        <a:ext cx="773430" cy="370840"/>
                      </a:xfrm>
                      <a:prstGeom prst="rect">
                        <a:avLst/>
                      </a:prstGeom>
                      <a:noFill/>
                      <a:ln>
                        <a:noFill/>
                      </a:ln>
                    </wps:spPr>
                    <wps:txbx>
                      <w:txbxContent>
                        <w:p w:rsidR="007E7E04" w:rsidRDefault="009E09EE">
                          <w:pPr>
                            <w:spacing w:after="0"/>
                            <w:textDirection w:val="btLr"/>
                          </w:pPr>
                          <w:r>
                            <w:rPr>
                              <w:color w:val="0000FF"/>
                              <w:sz w:val="20"/>
                            </w:rPr>
                            <w:t>OFFICIAL USE</w:t>
                          </w:r>
                        </w:p>
                      </w:txbxContent>
                    </wps:txbx>
                    <wps:bodyPr spcFirstLastPara="1" wrap="square" lIns="0" tIns="19050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92480" cy="389890"/>
              <wp:effectExtent b="0" l="0" r="0" t="0"/>
              <wp:wrapNone/>
              <wp:docPr descr="OFFICIAL USE" id="17" name="image5.png"/>
              <a:graphic>
                <a:graphicData uri="http://schemas.openxmlformats.org/drawingml/2006/picture">
                  <pic:pic>
                    <pic:nvPicPr>
                      <pic:cNvPr descr="OFFICIAL USE" id="0" name="image5.png"/>
                      <pic:cNvPicPr preferRelativeResize="0"/>
                    </pic:nvPicPr>
                    <pic:blipFill>
                      <a:blip r:embed="rId1"/>
                      <a:srcRect/>
                      <a:stretch>
                        <a:fillRect/>
                      </a:stretch>
                    </pic:blipFill>
                    <pic:spPr>
                      <a:xfrm>
                        <a:off x="0" y="0"/>
                        <a:ext cx="792480" cy="38989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E04" w:rsidRDefault="009E09EE">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g">
          <w:drawing>
            <wp:anchor distT="0" distB="0" distL="0" distR="0" simplePos="0" relativeHeight="251659264" behindDoc="0" locked="0" layoutInCell="1" hidden="0" allowOverlap="1">
              <wp:simplePos x="0" y="0"/>
              <wp:positionH relativeFrom="page">
                <wp:align>center</wp:align>
              </wp:positionH>
              <wp:positionV relativeFrom="page">
                <wp:align>top</wp:align>
              </wp:positionV>
              <wp:extent cx="792480" cy="389890"/>
              <wp:effectExtent l="0" t="0" r="0" b="0"/>
              <wp:wrapNone/>
              <wp:docPr id="19" name="Rectangle 19" descr="OFFICIAL USE"/>
              <wp:cNvGraphicFramePr/>
              <a:graphic xmlns:a="http://schemas.openxmlformats.org/drawingml/2006/main">
                <a:graphicData uri="http://schemas.microsoft.com/office/word/2010/wordprocessingShape">
                  <wps:wsp>
                    <wps:cNvSpPr/>
                    <wps:spPr>
                      <a:xfrm>
                        <a:off x="4959285" y="3594580"/>
                        <a:ext cx="773430" cy="370840"/>
                      </a:xfrm>
                      <a:prstGeom prst="rect">
                        <a:avLst/>
                      </a:prstGeom>
                      <a:noFill/>
                      <a:ln>
                        <a:noFill/>
                      </a:ln>
                    </wps:spPr>
                    <wps:txbx>
                      <w:txbxContent>
                        <w:p w:rsidR="007E7E04" w:rsidRDefault="009E09EE">
                          <w:pPr>
                            <w:spacing w:after="0"/>
                            <w:textDirection w:val="btLr"/>
                          </w:pPr>
                          <w:r>
                            <w:rPr>
                              <w:color w:val="0000FF"/>
                              <w:sz w:val="20"/>
                            </w:rPr>
                            <w:t>OFFICIAL USE</w:t>
                          </w:r>
                        </w:p>
                      </w:txbxContent>
                    </wps:txbx>
                    <wps:bodyPr spcFirstLastPara="1" wrap="square" lIns="0" tIns="19050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92480" cy="389890"/>
              <wp:effectExtent b="0" l="0" r="0" t="0"/>
              <wp:wrapNone/>
              <wp:docPr descr="OFFICIAL USE" id="19" name="image7.png"/>
              <a:graphic>
                <a:graphicData uri="http://schemas.openxmlformats.org/drawingml/2006/picture">
                  <pic:pic>
                    <pic:nvPicPr>
                      <pic:cNvPr descr="OFFICIAL USE" id="0" name="image7.png"/>
                      <pic:cNvPicPr preferRelativeResize="0"/>
                    </pic:nvPicPr>
                    <pic:blipFill>
                      <a:blip r:embed="rId1"/>
                      <a:srcRect/>
                      <a:stretch>
                        <a:fillRect/>
                      </a:stretch>
                    </pic:blipFill>
                    <pic:spPr>
                      <a:xfrm>
                        <a:off x="0" y="0"/>
                        <a:ext cx="792480" cy="389890"/>
                      </a:xfrm>
                      <a:prstGeom prst="rect"/>
                      <a:ln/>
                    </pic:spPr>
                  </pic:pic>
                </a:graphicData>
              </a:graphic>
            </wp:anchor>
          </w:drawing>
        </mc:Fallback>
      </mc:AlternateContent>
    </w:r>
    <w:r>
      <w:rPr>
        <w:noProof/>
        <w:color w:val="000000"/>
      </w:rPr>
      <mc:AlternateContent>
        <mc:Choice Requires="wpg">
          <w:drawing>
            <wp:anchor distT="0" distB="0" distL="0" distR="0" simplePos="0" relativeHeight="251660288" behindDoc="0" locked="0" layoutInCell="1" hidden="0" allowOverlap="1">
              <wp:simplePos x="0" y="0"/>
              <wp:positionH relativeFrom="page">
                <wp:align>center</wp:align>
              </wp:positionH>
              <wp:positionV relativeFrom="page">
                <wp:align>top</wp:align>
              </wp:positionV>
              <wp:extent cx="723900" cy="400050"/>
              <wp:effectExtent l="0" t="0" r="0" b="0"/>
              <wp:wrapNone/>
              <wp:docPr id="20" name="Rectangle 20" descr="OFFICIAL USE"/>
              <wp:cNvGraphicFramePr/>
              <a:graphic xmlns:a="http://schemas.openxmlformats.org/drawingml/2006/main">
                <a:graphicData uri="http://schemas.microsoft.com/office/word/2010/wordprocessingShape">
                  <wps:wsp>
                    <wps:cNvSpPr/>
                    <wps:spPr>
                      <a:xfrm>
                        <a:off x="5007863" y="3603788"/>
                        <a:ext cx="676275" cy="352425"/>
                      </a:xfrm>
                      <a:prstGeom prst="rect">
                        <a:avLst/>
                      </a:prstGeom>
                      <a:noFill/>
                      <a:ln>
                        <a:noFill/>
                      </a:ln>
                    </wps:spPr>
                    <wps:txbx>
                      <w:txbxContent>
                        <w:p w:rsidR="007E7E04" w:rsidRDefault="009E09EE">
                          <w:pPr>
                            <w:spacing w:after="0"/>
                            <w:textDirection w:val="btLr"/>
                          </w:pPr>
                          <w:r>
                            <w:rPr>
                              <w:rFonts w:ascii="Calibri" w:eastAsia="Calibri" w:hAnsi="Calibri" w:cs="Calibri"/>
                              <w:color w:val="0000FF"/>
                              <w:sz w:val="20"/>
                            </w:rPr>
                            <w:t>OFFICIAL USE</w:t>
                          </w:r>
                        </w:p>
                      </w:txbxContent>
                    </wps:txbx>
                    <wps:bodyPr spcFirstLastPara="1" wrap="square" lIns="0" tIns="19050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23900" cy="400050"/>
              <wp:effectExtent b="0" l="0" r="0" t="0"/>
              <wp:wrapNone/>
              <wp:docPr descr="OFFICIAL USE" id="20" name="image8.png"/>
              <a:graphic>
                <a:graphicData uri="http://schemas.openxmlformats.org/drawingml/2006/picture">
                  <pic:pic>
                    <pic:nvPicPr>
                      <pic:cNvPr descr="OFFICIAL USE" id="0" name="image8.png"/>
                      <pic:cNvPicPr preferRelativeResize="0"/>
                    </pic:nvPicPr>
                    <pic:blipFill>
                      <a:blip r:embed="rId1"/>
                      <a:srcRect/>
                      <a:stretch>
                        <a:fillRect/>
                      </a:stretch>
                    </pic:blipFill>
                    <pic:spPr>
                      <a:xfrm>
                        <a:off x="0" y="0"/>
                        <a:ext cx="723900" cy="400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D63FA"/>
    <w:multiLevelType w:val="multilevel"/>
    <w:tmpl w:val="7DDA7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4E7441"/>
    <w:multiLevelType w:val="multilevel"/>
    <w:tmpl w:val="52561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F32DD1"/>
    <w:multiLevelType w:val="multilevel"/>
    <w:tmpl w:val="AFA02FE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6E51D51"/>
    <w:multiLevelType w:val="multilevel"/>
    <w:tmpl w:val="B56EB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13524A"/>
    <w:multiLevelType w:val="multilevel"/>
    <w:tmpl w:val="4F501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B454B9"/>
    <w:multiLevelType w:val="multilevel"/>
    <w:tmpl w:val="0D54A8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66626C2"/>
    <w:multiLevelType w:val="multilevel"/>
    <w:tmpl w:val="417CA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97F0053"/>
    <w:multiLevelType w:val="multilevel"/>
    <w:tmpl w:val="16F66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09A0A41"/>
    <w:multiLevelType w:val="multilevel"/>
    <w:tmpl w:val="3FCCF920"/>
    <w:lvl w:ilvl="0">
      <w:start w:val="1"/>
      <w:numFmt w:val="bullet"/>
      <w:lvlText w:val="●"/>
      <w:lvlJc w:val="left"/>
      <w:pPr>
        <w:ind w:left="0" w:firstLine="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5DD623C"/>
    <w:multiLevelType w:val="multilevel"/>
    <w:tmpl w:val="CE7C0F9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7B220C4D"/>
    <w:multiLevelType w:val="multilevel"/>
    <w:tmpl w:val="4D24F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8616DC"/>
    <w:multiLevelType w:val="multilevel"/>
    <w:tmpl w:val="30521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8"/>
  </w:num>
  <w:num w:numId="3">
    <w:abstractNumId w:val="0"/>
  </w:num>
  <w:num w:numId="4">
    <w:abstractNumId w:val="11"/>
  </w:num>
  <w:num w:numId="5">
    <w:abstractNumId w:val="1"/>
  </w:num>
  <w:num w:numId="6">
    <w:abstractNumId w:val="4"/>
  </w:num>
  <w:num w:numId="7">
    <w:abstractNumId w:val="7"/>
  </w:num>
  <w:num w:numId="8">
    <w:abstractNumId w:val="3"/>
  </w:num>
  <w:num w:numId="9">
    <w:abstractNumId w:val="6"/>
  </w:num>
  <w:num w:numId="10">
    <w:abstractNumId w:val="2"/>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E04"/>
    <w:rsid w:val="006E5001"/>
    <w:rsid w:val="007E7E04"/>
    <w:rsid w:val="009E0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D25C1"/>
  <w15:docId w15:val="{1CEE1B95-2781-414D-9CD8-B6ABCB08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4"/>
        <w:szCs w:val="24"/>
        <w:lang w:val="en-GB"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do@kmu.gov.u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cs.google.com/document/d/1nMhodJDW2vHjZwClAhwyGT90P-PAjg4D/edit?usp=drive_link&amp;ouid=111146813783112117587&amp;rtpof=true&amp;sd=true" TargetMode="External"/><Relationship Id="rId4" Type="http://schemas.openxmlformats.org/officeDocument/2006/relationships/settings" Target="settings.xml"/><Relationship Id="rId9" Type="http://schemas.openxmlformats.org/officeDocument/2006/relationships/hyperlink" Target="https://docs.google.com/document/d/1u-Owea5GP5HcuKB_2G-NNEsqb_m9Chbi/edit?usp=drive_link&amp;ouid=111146813783112117587&amp;rtpof=true&amp;sd=true"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03WZFwFc/HxAEaNZ7Kac4jPD3w==">CgMxLjA4AHIhMVJVUXpwell5Vk80MFFNamVQaG42WUp5eThzMENnWWUt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1760</Words>
  <Characters>10037</Characters>
  <Application>Microsoft Office Word</Application>
  <DocSecurity>0</DocSecurity>
  <Lines>83</Lines>
  <Paragraphs>23</Paragraphs>
  <ScaleCrop>false</ScaleCrop>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Vladyslava Kuriacha</cp:lastModifiedBy>
  <cp:revision>3</cp:revision>
  <dcterms:created xsi:type="dcterms:W3CDTF">2026-07-10T08:33:00Z</dcterms:created>
  <dcterms:modified xsi:type="dcterms:W3CDTF">2026-11-04T16:16:00Z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0x010100B8AA1EA329BE1145AEDE62A17346AC48</vt:lpwstr>
  </property>
  <property fmtid="{D5CDD505-2E9C-101B-9397-08002B2CF9AE}" pid="3" name="ClassificationContentMarkingHeaderShapeIds">
    <vt:lpwstr>70431687,610219e8,3e64e88e,1ee0a4fa,5096ff91,268de639</vt:lpwstr>
  </property>
  <property fmtid="{D5CDD505-2E9C-101B-9397-08002B2CF9AE}" pid="4" name="ClassificationContentMarkingHeaderFontProps">
    <vt:lpwstr>#0000ff,10,Aptos</vt:lpwstr>
  </property>
  <property fmtid="{D5CDD505-2E9C-101B-9397-08002B2CF9AE}" pid="5" name="ClassificationContentMarkingHeaderText">
    <vt:lpwstr>OFFICIAL USE</vt:lpwstr>
  </property>
  <property fmtid="{D5CDD505-2E9C-101B-9397-08002B2CF9AE}" pid="6" name="ClassificationContentMarkingFooterShapeIds">
    <vt:lpwstr>793b1933,4db5bc5e,7122eba6,31dd4168,8ba3a35,75b07d58</vt:lpwstr>
  </property>
  <property fmtid="{D5CDD505-2E9C-101B-9397-08002B2CF9AE}" pid="7" name="ClassificationContentMarkingFooterFontProps">
    <vt:lpwstr>#0000ff,10,Aptos</vt:lpwstr>
  </property>
  <property fmtid="{D5CDD505-2E9C-101B-9397-08002B2CF9AE}" pid="8" name="ClassificationContentMarkingFooterText">
    <vt:lpwstr>OFFICIAL USE</vt:lpwstr>
  </property>
  <property fmtid="{D5CDD505-2E9C-101B-9397-08002B2CF9AE}" pid="9" name="j58bd6c1a5e04739961ec993afce87a7">
    <vt:lpwstr>j58bd6c1a5e04739961ec993afce87a7</vt:lpwstr>
  </property>
  <property fmtid="{D5CDD505-2E9C-101B-9397-08002B2CF9AE}" pid="10" name="MediaServiceImageTags">
    <vt:lpwstr>MediaServiceImageTags</vt:lpwstr>
  </property>
  <property fmtid="{D5CDD505-2E9C-101B-9397-08002B2CF9AE}" pid="11" name="Record_x0020_Status">
    <vt:lpwstr>Record Status</vt:lpwstr>
  </property>
  <property fmtid="{D5CDD505-2E9C-101B-9397-08002B2CF9AE}" pid="12" name="Record Status">
    <vt:lpwstr>Record Status</vt:lpwstr>
  </property>
</Properties>
</file>