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F085F" w14:textId="1F1BB7BA" w:rsidR="000F328E" w:rsidRPr="004046E6" w:rsidRDefault="000F328E" w:rsidP="000F328E">
      <w:pPr>
        <w:jc w:val="center"/>
        <w:rPr>
          <w:rFonts w:ascii="Times New Roman" w:eastAsia="Times New Roman" w:hAnsi="Times New Roman" w:cs="Times New Roman"/>
          <w:b/>
          <w:sz w:val="24"/>
          <w:szCs w:val="24"/>
          <w:lang w:val="en-GB" w:eastAsia="ru-RU" w:bidi="ru-RU"/>
        </w:rPr>
      </w:pPr>
      <w:r w:rsidRPr="004046E6">
        <w:rPr>
          <w:rFonts w:ascii="Times New Roman" w:eastAsia="Arial" w:hAnsi="Times New Roman" w:cs="Times New Roman"/>
          <w:b/>
          <w:sz w:val="24"/>
          <w:szCs w:val="24"/>
          <w:lang w:val="en-US" w:eastAsia="ru-RU" w:bidi="ru-RU"/>
        </w:rPr>
        <w:t xml:space="preserve">Senior Legal Expert on </w:t>
      </w:r>
      <w:r w:rsidRPr="007C54E3">
        <w:rPr>
          <w:rFonts w:ascii="Times New Roman" w:eastAsia="Arial" w:hAnsi="Times New Roman" w:cs="Times New Roman"/>
          <w:b/>
          <w:sz w:val="24"/>
          <w:szCs w:val="24"/>
          <w:lang w:val="en-US" w:eastAsia="ru-RU" w:bidi="ru-RU"/>
        </w:rPr>
        <w:t>Social Policy and Employment</w:t>
      </w:r>
      <w:r>
        <w:rPr>
          <w:rStyle w:val="a7"/>
          <w:rFonts w:ascii="Times New Roman" w:eastAsia="Arial" w:hAnsi="Times New Roman" w:cs="Times New Roman"/>
          <w:b/>
          <w:sz w:val="24"/>
          <w:szCs w:val="24"/>
          <w:lang w:val="en-US" w:eastAsia="ru-RU" w:bidi="ru-RU"/>
        </w:rPr>
        <w:footnoteReference w:id="1"/>
      </w:r>
      <w:r w:rsidRPr="007C54E3">
        <w:rPr>
          <w:rFonts w:ascii="Times New Roman" w:eastAsia="Arial" w:hAnsi="Times New Roman" w:cs="Times New Roman"/>
          <w:b/>
          <w:sz w:val="24"/>
          <w:szCs w:val="24"/>
          <w:lang w:val="en-US" w:eastAsia="ru-RU" w:bidi="ru-RU"/>
        </w:rPr>
        <w:t xml:space="preserve"> </w:t>
      </w:r>
      <w:r w:rsidRPr="004046E6">
        <w:rPr>
          <w:rFonts w:ascii="Times New Roman" w:eastAsia="Arial" w:hAnsi="Times New Roman" w:cs="Times New Roman"/>
          <w:b/>
          <w:sz w:val="24"/>
          <w:szCs w:val="24"/>
          <w:lang w:val="en-US" w:eastAsia="ru-RU" w:bidi="ru-RU"/>
        </w:rPr>
        <w:t xml:space="preserve">to the </w:t>
      </w:r>
      <w:r w:rsidRPr="004046E6">
        <w:rPr>
          <w:rFonts w:ascii="Times New Roman" w:eastAsia="Times New Roman" w:hAnsi="Times New Roman" w:cs="Times New Roman"/>
          <w:b/>
          <w:sz w:val="24"/>
          <w:szCs w:val="24"/>
          <w:lang w:val="en-GB" w:eastAsia="ru-RU" w:bidi="ru-RU"/>
        </w:rPr>
        <w:t>Re</w:t>
      </w:r>
      <w:r w:rsidR="00C7554E">
        <w:rPr>
          <w:rFonts w:ascii="Times New Roman" w:eastAsia="Times New Roman" w:hAnsi="Times New Roman" w:cs="Times New Roman"/>
          <w:b/>
          <w:sz w:val="24"/>
          <w:szCs w:val="24"/>
          <w:lang w:val="en-GB" w:eastAsia="ru-RU" w:bidi="ru-RU"/>
        </w:rPr>
        <w:t>covery and Re</w:t>
      </w:r>
      <w:r w:rsidRPr="004046E6">
        <w:rPr>
          <w:rFonts w:ascii="Times New Roman" w:eastAsia="Times New Roman" w:hAnsi="Times New Roman" w:cs="Times New Roman"/>
          <w:b/>
          <w:sz w:val="24"/>
          <w:szCs w:val="24"/>
          <w:lang w:val="en-GB" w:eastAsia="ru-RU" w:bidi="ru-RU"/>
        </w:rPr>
        <w:t>form Support Team for Legal Approximation of Ukrainian Legislation to the EU acquis</w:t>
      </w:r>
    </w:p>
    <w:p w14:paraId="4CE10AA4" w14:textId="77777777" w:rsidR="000F328E" w:rsidRPr="004046E6" w:rsidRDefault="000F328E" w:rsidP="000F328E">
      <w:pPr>
        <w:jc w:val="center"/>
        <w:rPr>
          <w:rFonts w:ascii="Times New Roman" w:hAnsi="Times New Roman" w:cs="Times New Roman"/>
          <w:b/>
          <w:color w:val="000000" w:themeColor="text1"/>
          <w:sz w:val="24"/>
          <w:szCs w:val="24"/>
          <w:lang w:val="en-GB"/>
        </w:rPr>
      </w:pPr>
      <w:r w:rsidRPr="004046E6">
        <w:rPr>
          <w:rFonts w:ascii="Times New Roman" w:eastAsia="Times New Roman" w:hAnsi="Times New Roman" w:cs="Times New Roman"/>
          <w:b/>
          <w:sz w:val="24"/>
          <w:szCs w:val="24"/>
          <w:lang w:val="en-GB" w:eastAsia="ru-RU" w:bidi="ru-RU"/>
        </w:rPr>
        <w:t>(category 1)</w:t>
      </w:r>
    </w:p>
    <w:p w14:paraId="70621628" w14:textId="77777777" w:rsidR="000F328E" w:rsidRPr="004046E6" w:rsidRDefault="000F328E" w:rsidP="000F328E">
      <w:pPr>
        <w:widowControl w:val="0"/>
        <w:numPr>
          <w:ilvl w:val="0"/>
          <w:numId w:val="3"/>
        </w:numPr>
        <w:pBdr>
          <w:top w:val="nil"/>
          <w:left w:val="nil"/>
          <w:bottom w:val="nil"/>
          <w:right w:val="nil"/>
          <w:between w:val="nil"/>
        </w:pBdr>
        <w:tabs>
          <w:tab w:val="left" w:pos="461"/>
          <w:tab w:val="left" w:pos="10065"/>
        </w:tabs>
        <w:autoSpaceDE w:val="0"/>
        <w:autoSpaceDN w:val="0"/>
        <w:spacing w:before="73" w:after="0" w:line="240" w:lineRule="auto"/>
        <w:ind w:right="289"/>
        <w:jc w:val="both"/>
        <w:outlineLvl w:val="0"/>
        <w:rPr>
          <w:rFonts w:ascii="Times New Roman" w:eastAsia="Arial" w:hAnsi="Times New Roman" w:cs="Times New Roman"/>
          <w:b/>
          <w:bCs/>
          <w:sz w:val="24"/>
          <w:szCs w:val="24"/>
          <w:lang w:val="en-GB" w:eastAsia="ru-RU" w:bidi="ru-RU"/>
        </w:rPr>
      </w:pPr>
      <w:r w:rsidRPr="004046E6">
        <w:rPr>
          <w:rFonts w:ascii="Times New Roman" w:eastAsia="Arial" w:hAnsi="Times New Roman" w:cs="Times New Roman"/>
          <w:b/>
          <w:bCs/>
          <w:sz w:val="24"/>
          <w:szCs w:val="24"/>
          <w:lang w:val="en-GB" w:eastAsia="ru-RU" w:bidi="ru-RU"/>
        </w:rPr>
        <w:t>Background</w:t>
      </w:r>
    </w:p>
    <w:p w14:paraId="7DF901E6" w14:textId="77777777" w:rsidR="000F328E" w:rsidRPr="004046E6" w:rsidRDefault="000F328E" w:rsidP="000F328E">
      <w:pPr>
        <w:widowControl w:val="0"/>
        <w:autoSpaceDE w:val="0"/>
        <w:autoSpaceDN w:val="0"/>
        <w:spacing w:before="120" w:after="0" w:line="240" w:lineRule="auto"/>
        <w:jc w:val="both"/>
        <w:rPr>
          <w:rFonts w:ascii="Times New Roman" w:eastAsia="Times New Roman" w:hAnsi="Times New Roman" w:cs="Times New Roman"/>
          <w:sz w:val="24"/>
          <w:szCs w:val="24"/>
          <w:lang w:val="en-GB" w:eastAsia="ru-RU" w:bidi="ru-RU"/>
        </w:rPr>
      </w:pPr>
      <w:r w:rsidRPr="004046E6">
        <w:rPr>
          <w:rFonts w:ascii="Times New Roman" w:eastAsia="Times New Roman" w:hAnsi="Times New Roman" w:cs="Times New Roman"/>
          <w:sz w:val="24"/>
          <w:szCs w:val="24"/>
          <w:lang w:val="en-GB" w:eastAsia="ru-RU" w:bidi="ru-RU"/>
        </w:rPr>
        <w:t>Post-war recovery and reconstruction will continue to be a key focus of the Ukrainian administration and the country’s international partners in the years to come. This presents a historic chance for Ukraine to transform its socio-economic fundamentals and lay the groundwork for a stable, green and digital transition to a modern and thriving economy. After receiving the EU candidate status earlier this year, Ukraine’s recovery efforts are expected to be anchored to the process of EU accession. This will require a significant increase in internal capacity as the EU integration agenda will need to be embedded into the core business of government.</w:t>
      </w:r>
    </w:p>
    <w:p w14:paraId="54CAE10B" w14:textId="77777777" w:rsidR="000F328E" w:rsidRPr="004046E6" w:rsidRDefault="000F328E" w:rsidP="000F328E">
      <w:pPr>
        <w:widowControl w:val="0"/>
        <w:autoSpaceDE w:val="0"/>
        <w:autoSpaceDN w:val="0"/>
        <w:spacing w:before="120" w:after="0" w:line="240" w:lineRule="auto"/>
        <w:jc w:val="both"/>
        <w:rPr>
          <w:rFonts w:ascii="Times New Roman" w:eastAsia="Times New Roman" w:hAnsi="Times New Roman" w:cs="Times New Roman"/>
          <w:sz w:val="24"/>
          <w:szCs w:val="24"/>
          <w:lang w:val="en-GB" w:eastAsia="ru-RU" w:bidi="ru-RU"/>
        </w:rPr>
      </w:pPr>
      <w:r w:rsidRPr="004046E6">
        <w:rPr>
          <w:rFonts w:ascii="Times New Roman" w:eastAsia="Times New Roman" w:hAnsi="Times New Roman" w:cs="Times New Roman"/>
          <w:sz w:val="24"/>
          <w:szCs w:val="24"/>
          <w:lang w:val="en-GB" w:eastAsia="ru-RU" w:bidi="ru-RU"/>
        </w:rPr>
        <w:t xml:space="preserve">Timely adoption of critical reforms will to a large extent, depend on the Parliament’s (hereafter -Verkhovna Rada of Ukraine/VRU/Rada) capacity to deliver in the area of EU acquis and specific sectoral expertise in areas covered by the EU negotiating chapters. </w:t>
      </w:r>
    </w:p>
    <w:p w14:paraId="06285305" w14:textId="73B2195A" w:rsidR="000F328E" w:rsidRPr="004046E6" w:rsidRDefault="000F328E" w:rsidP="000F328E">
      <w:pPr>
        <w:widowControl w:val="0"/>
        <w:autoSpaceDE w:val="0"/>
        <w:autoSpaceDN w:val="0"/>
        <w:spacing w:before="120" w:after="0" w:line="240" w:lineRule="auto"/>
        <w:jc w:val="both"/>
        <w:rPr>
          <w:rFonts w:ascii="Times New Roman" w:eastAsia="Times New Roman" w:hAnsi="Times New Roman" w:cs="Times New Roman"/>
          <w:sz w:val="24"/>
          <w:szCs w:val="24"/>
          <w:lang w:val="en-GB" w:eastAsia="ru-RU" w:bidi="ru-RU"/>
        </w:rPr>
      </w:pPr>
      <w:r w:rsidRPr="004046E6">
        <w:rPr>
          <w:rFonts w:ascii="Times New Roman" w:eastAsia="Times New Roman" w:hAnsi="Times New Roman" w:cs="Times New Roman"/>
          <w:sz w:val="24"/>
          <w:szCs w:val="24"/>
          <w:lang w:val="en-GB" w:eastAsia="ru-RU" w:bidi="ru-RU"/>
        </w:rPr>
        <w:t>To address the existing capacity gaps in the area of EU acquis transposition and provide support to accelerate critical reforms by the Parliament of Ukraine, a</w:t>
      </w:r>
      <w:r w:rsidR="004D7787">
        <w:rPr>
          <w:rFonts w:ascii="Times New Roman" w:eastAsia="Times New Roman" w:hAnsi="Times New Roman" w:cs="Times New Roman"/>
          <w:sz w:val="24"/>
          <w:szCs w:val="24"/>
          <w:lang w:val="en-GB" w:eastAsia="ru-RU" w:bidi="ru-RU"/>
        </w:rPr>
        <w:t xml:space="preserve"> </w:t>
      </w:r>
      <w:r w:rsidRPr="004046E6">
        <w:rPr>
          <w:rFonts w:ascii="Times New Roman" w:eastAsia="Times New Roman" w:hAnsi="Times New Roman" w:cs="Times New Roman"/>
          <w:sz w:val="24"/>
          <w:szCs w:val="24"/>
          <w:lang w:val="en-GB" w:eastAsia="ru-RU" w:bidi="ru-RU"/>
        </w:rPr>
        <w:t>Re</w:t>
      </w:r>
      <w:r w:rsidR="00E8428E">
        <w:rPr>
          <w:rFonts w:ascii="Times New Roman" w:eastAsia="Times New Roman" w:hAnsi="Times New Roman" w:cs="Times New Roman"/>
          <w:sz w:val="24"/>
          <w:szCs w:val="24"/>
          <w:lang w:val="en-GB" w:eastAsia="ru-RU" w:bidi="ru-RU"/>
        </w:rPr>
        <w:t>covery and Re</w:t>
      </w:r>
      <w:r w:rsidRPr="004046E6">
        <w:rPr>
          <w:rFonts w:ascii="Times New Roman" w:eastAsia="Times New Roman" w:hAnsi="Times New Roman" w:cs="Times New Roman"/>
          <w:sz w:val="24"/>
          <w:szCs w:val="24"/>
          <w:lang w:val="en-GB" w:eastAsia="ru-RU" w:bidi="ru-RU"/>
        </w:rPr>
        <w:t>form Support Team for Legal Approximation of Ukrainian Legislation to the EU acquis (hereafter - RST) under the umbrella of the Ukraine Re</w:t>
      </w:r>
      <w:r w:rsidR="00C7554E">
        <w:rPr>
          <w:rFonts w:ascii="Times New Roman" w:eastAsia="Times New Roman" w:hAnsi="Times New Roman" w:cs="Times New Roman"/>
          <w:sz w:val="24"/>
          <w:szCs w:val="24"/>
          <w:lang w:val="en-GB" w:eastAsia="ru-RU" w:bidi="ru-RU"/>
        </w:rPr>
        <w:t>covery and Re</w:t>
      </w:r>
      <w:r w:rsidRPr="004046E6">
        <w:rPr>
          <w:rFonts w:ascii="Times New Roman" w:eastAsia="Times New Roman" w:hAnsi="Times New Roman" w:cs="Times New Roman"/>
          <w:sz w:val="24"/>
          <w:szCs w:val="24"/>
          <w:lang w:val="en-GB" w:eastAsia="ru-RU" w:bidi="ru-RU"/>
        </w:rPr>
        <w:t>form Architecture programme is established. The RST will be integrated into existing coordination mechanisms between the Parliament and the Government while maintaining close collaboration and coordination with other reform teams of the Ukraine Reforms Architecture (located in line ministries/agencies and the Secretariat of the Cabinet of Ministers), therefore contributing to increasing the effectiveness of national institutional framework for managing the EU integration process.</w:t>
      </w:r>
    </w:p>
    <w:p w14:paraId="54058922" w14:textId="13D07723" w:rsidR="000F328E" w:rsidRPr="00A769D2" w:rsidRDefault="000F328E" w:rsidP="000F328E">
      <w:pPr>
        <w:widowControl w:val="0"/>
        <w:autoSpaceDE w:val="0"/>
        <w:autoSpaceDN w:val="0"/>
        <w:spacing w:before="120" w:after="0" w:line="240" w:lineRule="auto"/>
        <w:jc w:val="both"/>
        <w:rPr>
          <w:rFonts w:ascii="Times New Roman" w:eastAsia="Arial" w:hAnsi="Times New Roman" w:cs="Times New Roman"/>
          <w:sz w:val="24"/>
          <w:szCs w:val="24"/>
          <w:lang w:val="en-GB" w:eastAsia="ru-RU" w:bidi="ru-RU"/>
        </w:rPr>
      </w:pPr>
      <w:r w:rsidRPr="00A769D2">
        <w:rPr>
          <w:rFonts w:ascii="Times New Roman" w:eastAsia="Arial" w:hAnsi="Times New Roman" w:cs="Times New Roman"/>
          <w:sz w:val="24"/>
          <w:szCs w:val="24"/>
          <w:lang w:val="en-GB" w:eastAsia="ru-RU" w:bidi="ru-RU"/>
        </w:rPr>
        <w:t xml:space="preserve">The Ukraine </w:t>
      </w:r>
      <w:r w:rsidR="00C7554E" w:rsidRPr="00A769D2">
        <w:rPr>
          <w:rFonts w:ascii="Times New Roman" w:eastAsia="Arial" w:hAnsi="Times New Roman" w:cs="Times New Roman"/>
          <w:sz w:val="24"/>
          <w:szCs w:val="24"/>
          <w:lang w:val="en-GB" w:eastAsia="ru-RU" w:bidi="ru-RU"/>
        </w:rPr>
        <w:t xml:space="preserve">Recovery and </w:t>
      </w:r>
      <w:r w:rsidRPr="00A769D2">
        <w:rPr>
          <w:rFonts w:ascii="Times New Roman" w:eastAsia="Arial" w:hAnsi="Times New Roman" w:cs="Times New Roman"/>
          <w:sz w:val="24"/>
          <w:szCs w:val="24"/>
          <w:lang w:val="en-GB" w:eastAsia="ru-RU" w:bidi="ru-RU"/>
        </w:rPr>
        <w:t xml:space="preserve">Reform Architecture (URA) is a comprehensive technical assistance programme deployed by the EBRD, in partnership with the European Union, to support critical reform processes in Ukraine. It is financed from the Ukraine Stabilisation and Sustainable Growth Multi-Donor Account (MDA) managed by the EBRD. </w:t>
      </w:r>
    </w:p>
    <w:p w14:paraId="736ABE88" w14:textId="77777777" w:rsidR="000F328E" w:rsidRPr="00A769D2" w:rsidRDefault="000F328E" w:rsidP="000F328E">
      <w:pPr>
        <w:widowControl w:val="0"/>
        <w:autoSpaceDE w:val="0"/>
        <w:autoSpaceDN w:val="0"/>
        <w:spacing w:before="120" w:after="0" w:line="240" w:lineRule="auto"/>
        <w:jc w:val="both"/>
        <w:rPr>
          <w:rFonts w:ascii="Times New Roman" w:eastAsia="Arial" w:hAnsi="Times New Roman" w:cs="Times New Roman"/>
          <w:sz w:val="24"/>
          <w:szCs w:val="24"/>
          <w:lang w:val="en-GB" w:eastAsia="ru-RU" w:bidi="ru-RU"/>
        </w:rPr>
      </w:pPr>
      <w:r w:rsidRPr="00A769D2">
        <w:rPr>
          <w:rFonts w:ascii="Times New Roman" w:eastAsia="Arial" w:hAnsi="Times New Roman" w:cs="Times New Roman"/>
          <w:sz w:val="24"/>
          <w:szCs w:val="24"/>
          <w:lang w:val="en-GB" w:eastAsia="ru-RU" w:bidi="ru-RU"/>
        </w:rPr>
        <w:t>URA was designed as a holistic mechanism for stimulating systemic change in Ukraine’s public institutions and improving the business climate in the country. URA fills the critical capacity gaps by supplying reform talent at all levels of the government. Since 2016, more than 200 Ukrainian reformers have worked in the project’s various components and contributed to dozens of reform outcomes, strategies and policies.</w:t>
      </w:r>
    </w:p>
    <w:p w14:paraId="611C57CC" w14:textId="77777777" w:rsidR="000F328E" w:rsidRPr="00A769D2" w:rsidRDefault="000F328E" w:rsidP="000F328E">
      <w:pPr>
        <w:widowControl w:val="0"/>
        <w:autoSpaceDE w:val="0"/>
        <w:autoSpaceDN w:val="0"/>
        <w:spacing w:before="120" w:after="0" w:line="240" w:lineRule="auto"/>
        <w:jc w:val="both"/>
        <w:rPr>
          <w:rFonts w:ascii="Times New Roman" w:eastAsia="Arial" w:hAnsi="Times New Roman" w:cs="Times New Roman"/>
          <w:sz w:val="24"/>
          <w:szCs w:val="24"/>
          <w:lang w:val="en-GB" w:eastAsia="ru-RU" w:bidi="ru-RU"/>
        </w:rPr>
      </w:pPr>
      <w:r w:rsidRPr="00A769D2">
        <w:rPr>
          <w:rFonts w:ascii="Times New Roman" w:eastAsia="Arial" w:hAnsi="Times New Roman" w:cs="Times New Roman"/>
          <w:sz w:val="24"/>
          <w:szCs w:val="24"/>
          <w:lang w:val="en-GB" w:eastAsia="ru-RU" w:bidi="ru-RU"/>
        </w:rPr>
        <w:t>Currently URA is composed of two mutually reinforcing components:</w:t>
      </w:r>
    </w:p>
    <w:p w14:paraId="176118A2" w14:textId="4CCBDFAA" w:rsidR="000F328E" w:rsidRPr="00A769D2" w:rsidRDefault="000F328E" w:rsidP="000F328E">
      <w:pPr>
        <w:widowControl w:val="0"/>
        <w:numPr>
          <w:ilvl w:val="0"/>
          <w:numId w:val="1"/>
        </w:numPr>
        <w:autoSpaceDE w:val="0"/>
        <w:autoSpaceDN w:val="0"/>
        <w:spacing w:before="120" w:after="0" w:line="240" w:lineRule="auto"/>
        <w:ind w:left="851" w:hanging="425"/>
        <w:jc w:val="both"/>
        <w:rPr>
          <w:rFonts w:ascii="Times New Roman" w:eastAsia="Arial" w:hAnsi="Times New Roman" w:cs="Times New Roman"/>
          <w:sz w:val="24"/>
          <w:szCs w:val="24"/>
          <w:lang w:val="en-GB" w:eastAsia="ru-RU" w:bidi="ru-RU"/>
        </w:rPr>
      </w:pPr>
      <w:r w:rsidRPr="00A769D2">
        <w:rPr>
          <w:rFonts w:ascii="Times New Roman" w:eastAsia="Arial" w:hAnsi="Times New Roman" w:cs="Times New Roman"/>
          <w:sz w:val="24"/>
          <w:szCs w:val="24"/>
          <w:lang w:val="en-GB" w:eastAsia="ru-RU" w:bidi="ru-RU"/>
        </w:rPr>
        <w:t>The Re</w:t>
      </w:r>
      <w:r w:rsidR="00C7554E" w:rsidRPr="00A769D2">
        <w:rPr>
          <w:rFonts w:ascii="Times New Roman" w:eastAsia="Arial" w:hAnsi="Times New Roman" w:cs="Times New Roman"/>
          <w:sz w:val="24"/>
          <w:szCs w:val="24"/>
          <w:lang w:val="en-GB" w:eastAsia="ru-RU" w:bidi="ru-RU"/>
        </w:rPr>
        <w:t>covery and Re</w:t>
      </w:r>
      <w:r w:rsidRPr="00A769D2">
        <w:rPr>
          <w:rFonts w:ascii="Times New Roman" w:eastAsia="Arial" w:hAnsi="Times New Roman" w:cs="Times New Roman"/>
          <w:sz w:val="24"/>
          <w:szCs w:val="24"/>
          <w:lang w:val="en-GB" w:eastAsia="ru-RU" w:bidi="ru-RU"/>
        </w:rPr>
        <w:t>form Delivery Office (RDO) placed in the Cabinet of Ministers of Ukraine, coordinating and overseeing the reform processes across the Ukrainian administration</w:t>
      </w:r>
    </w:p>
    <w:p w14:paraId="02FACB6F" w14:textId="4D89E18A" w:rsidR="000F328E" w:rsidRPr="00A769D2" w:rsidRDefault="000F328E" w:rsidP="000F328E">
      <w:pPr>
        <w:widowControl w:val="0"/>
        <w:numPr>
          <w:ilvl w:val="0"/>
          <w:numId w:val="1"/>
        </w:numPr>
        <w:autoSpaceDE w:val="0"/>
        <w:autoSpaceDN w:val="0"/>
        <w:spacing w:before="120" w:after="0" w:line="240" w:lineRule="auto"/>
        <w:ind w:left="851" w:hanging="425"/>
        <w:jc w:val="both"/>
        <w:rPr>
          <w:rFonts w:ascii="Times New Roman" w:eastAsia="Arial" w:hAnsi="Times New Roman" w:cs="Times New Roman"/>
          <w:sz w:val="24"/>
          <w:szCs w:val="24"/>
          <w:lang w:val="en-GB" w:eastAsia="ru-RU" w:bidi="ru-RU"/>
        </w:rPr>
      </w:pPr>
      <w:r w:rsidRPr="00A769D2">
        <w:rPr>
          <w:rFonts w:ascii="Times New Roman" w:eastAsia="Arial" w:hAnsi="Times New Roman" w:cs="Times New Roman"/>
          <w:sz w:val="24"/>
          <w:szCs w:val="24"/>
          <w:lang w:val="en-GB" w:eastAsia="ru-RU" w:bidi="ru-RU"/>
        </w:rPr>
        <w:t>Re</w:t>
      </w:r>
      <w:r w:rsidR="00C7554E" w:rsidRPr="00A769D2">
        <w:rPr>
          <w:rFonts w:ascii="Times New Roman" w:eastAsia="Arial" w:hAnsi="Times New Roman" w:cs="Times New Roman"/>
          <w:sz w:val="24"/>
          <w:szCs w:val="24"/>
          <w:lang w:val="en-GB" w:eastAsia="ru-RU" w:bidi="ru-RU"/>
        </w:rPr>
        <w:t>covery and Re</w:t>
      </w:r>
      <w:r w:rsidRPr="00A769D2">
        <w:rPr>
          <w:rFonts w:ascii="Times New Roman" w:eastAsia="Arial" w:hAnsi="Times New Roman" w:cs="Times New Roman"/>
          <w:sz w:val="24"/>
          <w:szCs w:val="24"/>
          <w:lang w:val="en-GB" w:eastAsia="ru-RU" w:bidi="ru-RU"/>
        </w:rPr>
        <w:t xml:space="preserve">form Support Teams (RSTs) currently embedded in </w:t>
      </w:r>
      <w:r w:rsidR="00C7554E" w:rsidRPr="00A769D2">
        <w:rPr>
          <w:rFonts w:ascii="Times New Roman" w:eastAsia="Arial" w:hAnsi="Times New Roman" w:cs="Times New Roman"/>
          <w:sz w:val="24"/>
          <w:szCs w:val="24"/>
          <w:lang w:val="en-GB" w:eastAsia="ru-RU" w:bidi="ru-RU"/>
        </w:rPr>
        <w:t xml:space="preserve">eight </w:t>
      </w:r>
      <w:r w:rsidRPr="00A769D2">
        <w:rPr>
          <w:rFonts w:ascii="Times New Roman" w:eastAsia="Arial" w:hAnsi="Times New Roman" w:cs="Times New Roman"/>
          <w:sz w:val="24"/>
          <w:szCs w:val="24"/>
          <w:lang w:val="en-GB" w:eastAsia="ru-RU" w:bidi="ru-RU"/>
        </w:rPr>
        <w:t xml:space="preserve"> </w:t>
      </w:r>
      <w:r w:rsidR="00C7554E" w:rsidRPr="00A769D2">
        <w:rPr>
          <w:rFonts w:ascii="Times New Roman" w:eastAsia="Arial" w:hAnsi="Times New Roman" w:cs="Times New Roman"/>
          <w:sz w:val="24"/>
          <w:szCs w:val="24"/>
          <w:lang w:val="en-GB" w:eastAsia="ru-RU" w:bidi="ru-RU"/>
        </w:rPr>
        <w:t>m</w:t>
      </w:r>
      <w:r w:rsidRPr="00A769D2">
        <w:rPr>
          <w:rFonts w:ascii="Times New Roman" w:eastAsia="Arial" w:hAnsi="Times New Roman" w:cs="Times New Roman"/>
          <w:sz w:val="24"/>
          <w:szCs w:val="24"/>
          <w:lang w:val="en-GB" w:eastAsia="ru-RU" w:bidi="ru-RU"/>
        </w:rPr>
        <w:t xml:space="preserve">inistries and </w:t>
      </w:r>
      <w:r w:rsidR="00C7554E" w:rsidRPr="00A769D2">
        <w:rPr>
          <w:rFonts w:ascii="Times New Roman" w:eastAsia="Arial" w:hAnsi="Times New Roman" w:cs="Times New Roman"/>
          <w:sz w:val="24"/>
          <w:szCs w:val="24"/>
          <w:lang w:val="en-GB" w:eastAsia="ru-RU" w:bidi="ru-RU"/>
        </w:rPr>
        <w:t>a</w:t>
      </w:r>
      <w:r w:rsidRPr="00A769D2">
        <w:rPr>
          <w:rFonts w:ascii="Times New Roman" w:eastAsia="Arial" w:hAnsi="Times New Roman" w:cs="Times New Roman"/>
          <w:sz w:val="24"/>
          <w:szCs w:val="24"/>
          <w:lang w:val="en-GB" w:eastAsia="ru-RU" w:bidi="ru-RU"/>
        </w:rPr>
        <w:t>gencies to manage the implementation of sectoral reforms. RSTs are a group of Ukrainian experts, hired from outside the public administration, with the overall objective of facilitating implementation of key reforms and establishing a new generation of reform-oriented Ukrainian citizen. They provide targeted, temporary expert support to assist Ministries and agencies in the design and implementation of priority sectoral reforms and restructuring of the Ministries themselves. RSTs are active at the Ministries of Finance, Economy, Communitie</w:t>
      </w:r>
      <w:r w:rsidR="00C7554E" w:rsidRPr="00A769D2">
        <w:rPr>
          <w:rFonts w:ascii="Times New Roman" w:eastAsia="Arial" w:hAnsi="Times New Roman" w:cs="Times New Roman"/>
          <w:sz w:val="24"/>
          <w:szCs w:val="24"/>
          <w:lang w:val="en-GB" w:eastAsia="ru-RU" w:bidi="ru-RU"/>
        </w:rPr>
        <w:t xml:space="preserve">s, </w:t>
      </w:r>
      <w:r w:rsidRPr="00A769D2">
        <w:rPr>
          <w:rFonts w:ascii="Times New Roman" w:eastAsia="Arial" w:hAnsi="Times New Roman" w:cs="Times New Roman"/>
          <w:sz w:val="24"/>
          <w:szCs w:val="24"/>
          <w:lang w:val="en-GB" w:eastAsia="ru-RU" w:bidi="ru-RU"/>
        </w:rPr>
        <w:t xml:space="preserve">Territories </w:t>
      </w:r>
      <w:r w:rsidR="00C7554E" w:rsidRPr="00A769D2">
        <w:rPr>
          <w:rFonts w:ascii="Times New Roman" w:eastAsia="Arial" w:hAnsi="Times New Roman" w:cs="Times New Roman"/>
          <w:sz w:val="24"/>
          <w:szCs w:val="24"/>
          <w:lang w:val="en-GB" w:eastAsia="ru-RU" w:bidi="ru-RU"/>
        </w:rPr>
        <w:t xml:space="preserve">and Infrastructure </w:t>
      </w:r>
      <w:r w:rsidRPr="00A769D2">
        <w:rPr>
          <w:rFonts w:ascii="Times New Roman" w:eastAsia="Arial" w:hAnsi="Times New Roman" w:cs="Times New Roman"/>
          <w:sz w:val="24"/>
          <w:szCs w:val="24"/>
          <w:lang w:val="en-GB" w:eastAsia="ru-RU" w:bidi="ru-RU"/>
        </w:rPr>
        <w:t>Development,</w:t>
      </w:r>
      <w:r w:rsidR="00C7554E" w:rsidRPr="00A769D2">
        <w:rPr>
          <w:rFonts w:ascii="Times New Roman" w:eastAsia="Arial" w:hAnsi="Times New Roman" w:cs="Times New Roman"/>
          <w:sz w:val="24"/>
          <w:szCs w:val="24"/>
          <w:lang w:val="en-GB" w:eastAsia="ru-RU" w:bidi="ru-RU"/>
        </w:rPr>
        <w:t xml:space="preserve"> </w:t>
      </w:r>
      <w:r w:rsidRPr="00A769D2">
        <w:rPr>
          <w:rFonts w:ascii="Times New Roman" w:eastAsia="Arial" w:hAnsi="Times New Roman" w:cs="Times New Roman"/>
          <w:sz w:val="24"/>
          <w:szCs w:val="24"/>
          <w:lang w:val="en-GB" w:eastAsia="ru-RU" w:bidi="ru-RU"/>
        </w:rPr>
        <w:t>Environmental Protection and Natural Resources, Education and Science, Energy and the State Customs Service.</w:t>
      </w:r>
    </w:p>
    <w:p w14:paraId="6A5B06DC" w14:textId="7DF6274D" w:rsidR="000F328E" w:rsidRPr="00A769D2" w:rsidRDefault="000F328E" w:rsidP="000F328E">
      <w:pPr>
        <w:widowControl w:val="0"/>
        <w:autoSpaceDE w:val="0"/>
        <w:autoSpaceDN w:val="0"/>
        <w:spacing w:before="120" w:after="0" w:line="240" w:lineRule="auto"/>
        <w:jc w:val="both"/>
        <w:rPr>
          <w:rFonts w:ascii="Times New Roman" w:eastAsia="Arial" w:hAnsi="Times New Roman" w:cs="Times New Roman"/>
          <w:sz w:val="24"/>
          <w:szCs w:val="24"/>
          <w:lang w:val="en-GB" w:eastAsia="ru-RU" w:bidi="ru-RU"/>
        </w:rPr>
      </w:pPr>
      <w:r w:rsidRPr="00A769D2">
        <w:rPr>
          <w:rFonts w:ascii="Times New Roman" w:eastAsia="Arial" w:hAnsi="Times New Roman" w:cs="Times New Roman"/>
          <w:sz w:val="24"/>
          <w:szCs w:val="24"/>
          <w:lang w:val="en-GB" w:eastAsia="ru-RU" w:bidi="ru-RU"/>
        </w:rPr>
        <w:lastRenderedPageBreak/>
        <w:t xml:space="preserve">The RST in the Parliament </w:t>
      </w:r>
      <w:r w:rsidR="00C7554E" w:rsidRPr="00A769D2">
        <w:rPr>
          <w:rFonts w:ascii="Times New Roman" w:eastAsia="Arial" w:hAnsi="Times New Roman" w:cs="Times New Roman"/>
          <w:sz w:val="24"/>
          <w:szCs w:val="24"/>
          <w:lang w:val="en-GB" w:eastAsia="ru-RU" w:bidi="ru-RU"/>
        </w:rPr>
        <w:t>is</w:t>
      </w:r>
      <w:r w:rsidRPr="00A769D2">
        <w:rPr>
          <w:rFonts w:ascii="Times New Roman" w:eastAsia="Arial" w:hAnsi="Times New Roman" w:cs="Times New Roman"/>
          <w:sz w:val="24"/>
          <w:szCs w:val="24"/>
          <w:lang w:val="en-GB" w:eastAsia="ru-RU" w:bidi="ru-RU"/>
        </w:rPr>
        <w:t xml:space="preserve"> a third component of the URA programme, reinforcing its EU-integration pillar.</w:t>
      </w:r>
    </w:p>
    <w:p w14:paraId="41232634" w14:textId="77777777" w:rsidR="000F328E" w:rsidRPr="00A769D2" w:rsidRDefault="000F328E" w:rsidP="000F328E">
      <w:pPr>
        <w:widowControl w:val="0"/>
        <w:autoSpaceDE w:val="0"/>
        <w:autoSpaceDN w:val="0"/>
        <w:spacing w:before="120" w:after="0" w:line="240" w:lineRule="auto"/>
        <w:jc w:val="both"/>
        <w:rPr>
          <w:rFonts w:ascii="Times New Roman" w:eastAsia="Arial" w:hAnsi="Times New Roman" w:cs="Times New Roman"/>
          <w:sz w:val="24"/>
          <w:szCs w:val="24"/>
          <w:lang w:val="en-GB" w:eastAsia="ru-RU" w:bidi="ru-RU"/>
        </w:rPr>
      </w:pPr>
    </w:p>
    <w:p w14:paraId="7C7D622B" w14:textId="4A60D1A3" w:rsidR="000F328E" w:rsidRPr="004046E6" w:rsidRDefault="000F328E" w:rsidP="000F328E">
      <w:pPr>
        <w:widowControl w:val="0"/>
        <w:pBdr>
          <w:top w:val="nil"/>
          <w:left w:val="nil"/>
          <w:bottom w:val="nil"/>
          <w:right w:val="nil"/>
          <w:between w:val="nil"/>
        </w:pBdr>
        <w:tabs>
          <w:tab w:val="left" w:pos="461"/>
          <w:tab w:val="left" w:pos="10065"/>
        </w:tabs>
        <w:spacing w:before="73" w:after="0" w:line="240" w:lineRule="auto"/>
        <w:ind w:right="33"/>
        <w:jc w:val="both"/>
        <w:outlineLvl w:val="0"/>
        <w:rPr>
          <w:rFonts w:ascii="Times New Roman" w:eastAsia="Arial" w:hAnsi="Times New Roman" w:cs="Times New Roman"/>
          <w:b/>
          <w:bCs/>
          <w:sz w:val="24"/>
          <w:szCs w:val="24"/>
          <w:lang w:val="en-GB" w:eastAsia="ru-RU" w:bidi="ru-RU"/>
        </w:rPr>
      </w:pPr>
      <w:r w:rsidRPr="00A769D2">
        <w:rPr>
          <w:rFonts w:ascii="Times New Roman" w:eastAsia="Arial" w:hAnsi="Times New Roman" w:cs="Times New Roman"/>
          <w:b/>
          <w:bCs/>
          <w:sz w:val="24"/>
          <w:szCs w:val="24"/>
          <w:lang w:val="en-GB" w:eastAsia="ru-RU" w:bidi="ru-RU"/>
        </w:rPr>
        <w:t>The Ukraine Re</w:t>
      </w:r>
      <w:r w:rsidR="00C7554E" w:rsidRPr="00A769D2">
        <w:rPr>
          <w:rFonts w:ascii="Times New Roman" w:eastAsia="Arial" w:hAnsi="Times New Roman" w:cs="Times New Roman"/>
          <w:b/>
          <w:bCs/>
          <w:sz w:val="24"/>
          <w:szCs w:val="24"/>
          <w:lang w:val="en-GB" w:eastAsia="ru-RU" w:bidi="ru-RU"/>
        </w:rPr>
        <w:t>covery and Re</w:t>
      </w:r>
      <w:r w:rsidRPr="00A769D2">
        <w:rPr>
          <w:rFonts w:ascii="Times New Roman" w:eastAsia="Arial" w:hAnsi="Times New Roman" w:cs="Times New Roman"/>
          <w:b/>
          <w:bCs/>
          <w:sz w:val="24"/>
          <w:szCs w:val="24"/>
          <w:lang w:val="en-GB" w:eastAsia="ru-RU" w:bidi="ru-RU"/>
        </w:rPr>
        <w:t>form Architecture (URA) is financed from the Ukraine Stabilisation and Sustainable Growth Multi- Donor Account (MDA) managed by the EBRD.  Contributors to the MDA are Austria, Denmark, Finland, France, Germany, Italy, Japan, the Netherlands, Norway, Poland, Sweden, Switzerland, the United Kingdom, the United States and the European Union.</w:t>
      </w:r>
      <w:r w:rsidRPr="004046E6">
        <w:rPr>
          <w:rFonts w:ascii="Times New Roman" w:eastAsia="Arial" w:hAnsi="Times New Roman" w:cs="Times New Roman"/>
          <w:b/>
          <w:bCs/>
          <w:sz w:val="24"/>
          <w:szCs w:val="24"/>
          <w:lang w:val="en-GB" w:eastAsia="ru-RU" w:bidi="ru-RU"/>
        </w:rPr>
        <w:t xml:space="preserve">  </w:t>
      </w:r>
    </w:p>
    <w:p w14:paraId="712BFE2F" w14:textId="77777777" w:rsidR="000F328E" w:rsidRPr="004046E6" w:rsidRDefault="000F328E" w:rsidP="000F328E">
      <w:pPr>
        <w:widowControl w:val="0"/>
        <w:pBdr>
          <w:top w:val="nil"/>
          <w:left w:val="nil"/>
          <w:bottom w:val="nil"/>
          <w:right w:val="nil"/>
          <w:between w:val="nil"/>
        </w:pBdr>
        <w:tabs>
          <w:tab w:val="left" w:pos="461"/>
          <w:tab w:val="left" w:pos="10065"/>
        </w:tabs>
        <w:spacing w:before="73" w:after="0" w:line="240" w:lineRule="auto"/>
        <w:ind w:left="90" w:right="-57" w:hanging="14"/>
        <w:jc w:val="both"/>
        <w:outlineLvl w:val="0"/>
        <w:rPr>
          <w:rFonts w:ascii="Times New Roman" w:eastAsia="Arial" w:hAnsi="Times New Roman" w:cs="Times New Roman"/>
          <w:bCs/>
          <w:sz w:val="24"/>
          <w:szCs w:val="24"/>
          <w:lang w:val="en-GB" w:eastAsia="ru-RU" w:bidi="ru-RU"/>
        </w:rPr>
      </w:pPr>
    </w:p>
    <w:p w14:paraId="3FC346F0" w14:textId="77777777" w:rsidR="000F328E" w:rsidRPr="004046E6" w:rsidRDefault="000F328E" w:rsidP="000F328E">
      <w:pPr>
        <w:pStyle w:val="Normale-n-ind"/>
        <w:tabs>
          <w:tab w:val="left" w:pos="1985"/>
        </w:tabs>
        <w:spacing w:after="0" w:line="240" w:lineRule="auto"/>
        <w:rPr>
          <w:i/>
          <w:color w:val="000000" w:themeColor="text1"/>
          <w:lang w:val="uk-UA"/>
        </w:rPr>
      </w:pPr>
      <w:r w:rsidRPr="004046E6">
        <w:rPr>
          <w:rFonts w:eastAsia="Arial"/>
          <w:b/>
          <w:bCs/>
          <w:lang w:val="en-GB" w:eastAsia="ru-RU" w:bidi="ru-RU"/>
        </w:rPr>
        <w:t xml:space="preserve">2. Objectives and Scope of the Services </w:t>
      </w:r>
    </w:p>
    <w:p w14:paraId="41853463" w14:textId="77777777" w:rsidR="000F328E" w:rsidRPr="004046E6" w:rsidRDefault="000F328E" w:rsidP="000F328E">
      <w:pPr>
        <w:spacing w:after="0" w:line="240" w:lineRule="auto"/>
        <w:jc w:val="both"/>
        <w:rPr>
          <w:rFonts w:ascii="Times New Roman" w:hAnsi="Times New Roman" w:cs="Times New Roman"/>
          <w:color w:val="000000" w:themeColor="text1"/>
          <w:sz w:val="24"/>
          <w:szCs w:val="24"/>
          <w:lang w:val="en-GB"/>
        </w:rPr>
      </w:pPr>
      <w:r w:rsidRPr="004046E6">
        <w:rPr>
          <w:rFonts w:ascii="Times New Roman" w:hAnsi="Times New Roman" w:cs="Times New Roman"/>
          <w:color w:val="000000" w:themeColor="text1"/>
          <w:sz w:val="24"/>
          <w:szCs w:val="24"/>
          <w:lang w:val="en-GB"/>
        </w:rPr>
        <w:t xml:space="preserve">The EU candidate status is a historic breakthrough for Ukraine and presents a unique opportunity </w:t>
      </w:r>
      <w:r w:rsidRPr="004046E6">
        <w:rPr>
          <w:rFonts w:ascii="Times New Roman" w:hAnsi="Times New Roman" w:cs="Times New Roman"/>
          <w:color w:val="000000" w:themeColor="text1"/>
          <w:sz w:val="24"/>
          <w:szCs w:val="24"/>
          <w:lang w:val="en-US"/>
        </w:rPr>
        <w:t>for deepening political and economic ties between Ukraine and the EU and implement necessary legal, policy and institutional reforms on the way to the EU accession</w:t>
      </w:r>
      <w:r w:rsidRPr="004046E6">
        <w:rPr>
          <w:rFonts w:ascii="Times New Roman" w:hAnsi="Times New Roman" w:cs="Times New Roman"/>
          <w:color w:val="000000" w:themeColor="text1"/>
          <w:sz w:val="24"/>
          <w:szCs w:val="24"/>
          <w:lang w:val="en-GB"/>
        </w:rPr>
        <w:t xml:space="preserve">. </w:t>
      </w:r>
    </w:p>
    <w:p w14:paraId="2E379395" w14:textId="77777777" w:rsidR="000F328E" w:rsidRPr="004046E6" w:rsidRDefault="000F328E" w:rsidP="000F328E">
      <w:pPr>
        <w:spacing w:after="0" w:line="240" w:lineRule="auto"/>
        <w:jc w:val="both"/>
        <w:rPr>
          <w:rFonts w:ascii="Times New Roman" w:hAnsi="Times New Roman" w:cs="Times New Roman"/>
          <w:color w:val="000000" w:themeColor="text1"/>
          <w:sz w:val="24"/>
          <w:szCs w:val="24"/>
          <w:lang w:val="en-GB"/>
        </w:rPr>
      </w:pPr>
    </w:p>
    <w:p w14:paraId="252577E6" w14:textId="7F5744FC" w:rsidR="000F328E" w:rsidRPr="004046E6" w:rsidRDefault="000F328E" w:rsidP="000F328E">
      <w:pPr>
        <w:spacing w:after="0" w:line="240" w:lineRule="auto"/>
        <w:jc w:val="both"/>
        <w:rPr>
          <w:rFonts w:ascii="Times New Roman" w:hAnsi="Times New Roman" w:cs="Times New Roman"/>
          <w:color w:val="000000" w:themeColor="text1"/>
          <w:sz w:val="24"/>
          <w:szCs w:val="24"/>
          <w:lang w:val="en-GB"/>
        </w:rPr>
      </w:pPr>
      <w:r w:rsidRPr="004046E6">
        <w:rPr>
          <w:rFonts w:ascii="Times New Roman" w:hAnsi="Times New Roman" w:cs="Times New Roman"/>
          <w:color w:val="000000" w:themeColor="text1"/>
          <w:sz w:val="24"/>
          <w:szCs w:val="24"/>
          <w:lang w:val="en-GB"/>
        </w:rPr>
        <w:t xml:space="preserve">The RST </w:t>
      </w:r>
      <w:r>
        <w:rPr>
          <w:rFonts w:ascii="Times New Roman" w:hAnsi="Times New Roman" w:cs="Times New Roman"/>
          <w:color w:val="000000" w:themeColor="text1"/>
          <w:sz w:val="24"/>
          <w:szCs w:val="24"/>
          <w:lang w:val="en-GB"/>
        </w:rPr>
        <w:t xml:space="preserve">is </w:t>
      </w:r>
      <w:r w:rsidRPr="004046E6">
        <w:rPr>
          <w:rFonts w:ascii="Times New Roman" w:hAnsi="Times New Roman" w:cs="Times New Roman"/>
          <w:color w:val="000000" w:themeColor="text1"/>
          <w:sz w:val="24"/>
          <w:szCs w:val="24"/>
          <w:lang w:val="en-GB"/>
        </w:rPr>
        <w:t>an advisory body to the Secretariat of the VRU and where appropriate in coordination with other EU-funded projects linked to legal approximation will provide:</w:t>
      </w:r>
    </w:p>
    <w:p w14:paraId="297571F2" w14:textId="77777777" w:rsidR="000F328E" w:rsidRPr="004046E6" w:rsidRDefault="000F328E" w:rsidP="000F328E">
      <w:pPr>
        <w:numPr>
          <w:ilvl w:val="0"/>
          <w:numId w:val="8"/>
        </w:numPr>
        <w:spacing w:after="0" w:line="240" w:lineRule="auto"/>
        <w:jc w:val="both"/>
        <w:rPr>
          <w:rFonts w:ascii="Times New Roman" w:hAnsi="Times New Roman" w:cs="Times New Roman"/>
          <w:color w:val="000000" w:themeColor="text1"/>
          <w:sz w:val="24"/>
          <w:szCs w:val="24"/>
          <w:lang w:val="en-GB"/>
        </w:rPr>
      </w:pPr>
      <w:r w:rsidRPr="004046E6">
        <w:rPr>
          <w:rFonts w:ascii="Times New Roman" w:hAnsi="Times New Roman" w:cs="Times New Roman"/>
          <w:color w:val="000000" w:themeColor="text1"/>
          <w:sz w:val="24"/>
          <w:szCs w:val="24"/>
          <w:lang w:val="en-GB"/>
        </w:rPr>
        <w:t>analytical and legal support to the adaptation of the Ukrainian legislation to EU norms;</w:t>
      </w:r>
    </w:p>
    <w:p w14:paraId="19A11E05" w14:textId="77777777" w:rsidR="000F328E" w:rsidRPr="004046E6" w:rsidRDefault="000F328E" w:rsidP="000F328E">
      <w:pPr>
        <w:numPr>
          <w:ilvl w:val="0"/>
          <w:numId w:val="8"/>
        </w:numPr>
        <w:spacing w:after="0" w:line="240" w:lineRule="auto"/>
        <w:jc w:val="both"/>
        <w:rPr>
          <w:rFonts w:ascii="Times New Roman" w:hAnsi="Times New Roman" w:cs="Times New Roman"/>
          <w:color w:val="000000" w:themeColor="text1"/>
          <w:sz w:val="24"/>
          <w:szCs w:val="24"/>
          <w:lang w:val="en-GB"/>
        </w:rPr>
      </w:pPr>
      <w:r w:rsidRPr="004046E6">
        <w:rPr>
          <w:rFonts w:ascii="Times New Roman" w:hAnsi="Times New Roman" w:cs="Times New Roman"/>
          <w:color w:val="000000" w:themeColor="text1"/>
          <w:sz w:val="24"/>
          <w:szCs w:val="24"/>
          <w:lang w:val="en-GB"/>
        </w:rPr>
        <w:t>support to Parliamentary committees</w:t>
      </w:r>
      <w:r w:rsidRPr="004046E6">
        <w:rPr>
          <w:rFonts w:ascii="Times New Roman" w:hAnsi="Times New Roman" w:cs="Times New Roman"/>
          <w:color w:val="000000" w:themeColor="text1"/>
          <w:sz w:val="24"/>
          <w:szCs w:val="24"/>
        </w:rPr>
        <w:t xml:space="preserve"> </w:t>
      </w:r>
      <w:r w:rsidRPr="004046E6">
        <w:rPr>
          <w:rFonts w:ascii="Times New Roman" w:hAnsi="Times New Roman" w:cs="Times New Roman"/>
          <w:color w:val="000000" w:themeColor="text1"/>
          <w:sz w:val="24"/>
          <w:szCs w:val="24"/>
          <w:lang w:val="en-GB"/>
        </w:rPr>
        <w:t>and their subcommittees, secretariats of Parliamentary committees, the Chairman of the Parliament, together with his First Deputy, Deputy and their Offices (where necessary), and Members of the Parliament (where necessary);</w:t>
      </w:r>
    </w:p>
    <w:p w14:paraId="550955C5" w14:textId="77777777" w:rsidR="000F328E" w:rsidRPr="004046E6" w:rsidRDefault="000F328E" w:rsidP="000F328E">
      <w:pPr>
        <w:numPr>
          <w:ilvl w:val="0"/>
          <w:numId w:val="8"/>
        </w:numPr>
        <w:spacing w:after="0" w:line="240" w:lineRule="auto"/>
        <w:jc w:val="both"/>
        <w:rPr>
          <w:rFonts w:ascii="Times New Roman" w:hAnsi="Times New Roman" w:cs="Times New Roman"/>
          <w:color w:val="000000" w:themeColor="text1"/>
          <w:sz w:val="24"/>
          <w:szCs w:val="24"/>
          <w:lang w:val="en-GB"/>
        </w:rPr>
      </w:pPr>
      <w:r w:rsidRPr="004046E6">
        <w:rPr>
          <w:rFonts w:ascii="Times New Roman" w:hAnsi="Times New Roman" w:cs="Times New Roman"/>
          <w:color w:val="000000" w:themeColor="text1"/>
          <w:sz w:val="24"/>
          <w:szCs w:val="24"/>
          <w:lang w:val="en-GB"/>
        </w:rPr>
        <w:t>assistance with filling the existing capacity gaps in the area of EU acquis transposition and much needed expert support to accelerate critical reforms by the Parliament;</w:t>
      </w:r>
    </w:p>
    <w:p w14:paraId="622C49FF" w14:textId="77777777" w:rsidR="000F328E" w:rsidRPr="004046E6" w:rsidRDefault="000F328E" w:rsidP="000F328E">
      <w:pPr>
        <w:numPr>
          <w:ilvl w:val="0"/>
          <w:numId w:val="8"/>
        </w:numPr>
        <w:spacing w:after="0" w:line="240" w:lineRule="auto"/>
        <w:jc w:val="both"/>
        <w:rPr>
          <w:rFonts w:ascii="Times New Roman" w:hAnsi="Times New Roman" w:cs="Times New Roman"/>
          <w:color w:val="000000" w:themeColor="text1"/>
          <w:sz w:val="24"/>
          <w:szCs w:val="24"/>
          <w:lang w:val="en-GB"/>
        </w:rPr>
      </w:pPr>
      <w:r w:rsidRPr="004046E6">
        <w:rPr>
          <w:rFonts w:ascii="Times New Roman" w:hAnsi="Times New Roman" w:cs="Times New Roman"/>
          <w:color w:val="000000" w:themeColor="text1"/>
          <w:sz w:val="24"/>
          <w:szCs w:val="24"/>
          <w:lang w:val="en-GB"/>
        </w:rPr>
        <w:t>support to the VRU in the process of facilitating and accelerating the transposition of EU legislation into Ukraine’s legal framework;</w:t>
      </w:r>
    </w:p>
    <w:p w14:paraId="581F96E6" w14:textId="77777777" w:rsidR="000F328E" w:rsidRPr="004046E6" w:rsidRDefault="000F328E" w:rsidP="000F328E">
      <w:pPr>
        <w:numPr>
          <w:ilvl w:val="0"/>
          <w:numId w:val="8"/>
        </w:numPr>
        <w:spacing w:after="0" w:line="240" w:lineRule="auto"/>
        <w:jc w:val="both"/>
        <w:rPr>
          <w:rFonts w:ascii="Times New Roman" w:hAnsi="Times New Roman" w:cs="Times New Roman"/>
          <w:color w:val="000000" w:themeColor="text1"/>
          <w:sz w:val="24"/>
          <w:szCs w:val="24"/>
          <w:lang w:val="en-GB"/>
        </w:rPr>
      </w:pPr>
      <w:r w:rsidRPr="004046E6">
        <w:rPr>
          <w:rFonts w:ascii="Times New Roman" w:hAnsi="Times New Roman" w:cs="Times New Roman"/>
          <w:color w:val="000000" w:themeColor="text1"/>
          <w:sz w:val="24"/>
          <w:szCs w:val="24"/>
          <w:lang w:val="en-GB"/>
        </w:rPr>
        <w:t>any other assistance and support related to the implementation of EU legal approximation policy (where necessary).</w:t>
      </w:r>
    </w:p>
    <w:p w14:paraId="4EECD889" w14:textId="2C44D711" w:rsidR="000F328E" w:rsidRPr="004046E6" w:rsidRDefault="000F328E" w:rsidP="000F328E">
      <w:pPr>
        <w:spacing w:after="0" w:line="240" w:lineRule="auto"/>
        <w:jc w:val="both"/>
        <w:rPr>
          <w:rFonts w:ascii="Times New Roman" w:hAnsi="Times New Roman" w:cs="Times New Roman"/>
          <w:color w:val="000000" w:themeColor="text1"/>
          <w:sz w:val="24"/>
          <w:szCs w:val="24"/>
          <w:lang w:val="en-GB"/>
        </w:rPr>
      </w:pPr>
      <w:r w:rsidRPr="004046E6">
        <w:rPr>
          <w:rFonts w:ascii="Times New Roman" w:hAnsi="Times New Roman" w:cs="Times New Roman"/>
          <w:color w:val="000000" w:themeColor="text1"/>
          <w:sz w:val="24"/>
          <w:szCs w:val="24"/>
          <w:lang w:val="en-GB"/>
        </w:rPr>
        <w:t>The Senior Legal Expert will also work in close cooperation with other reform teams of the URA programme – the Re</w:t>
      </w:r>
      <w:r w:rsidR="00C7554E">
        <w:rPr>
          <w:rFonts w:ascii="Times New Roman" w:hAnsi="Times New Roman" w:cs="Times New Roman"/>
          <w:color w:val="000000" w:themeColor="text1"/>
          <w:sz w:val="24"/>
          <w:szCs w:val="24"/>
          <w:lang w:val="en-GB"/>
        </w:rPr>
        <w:t>covery and Re</w:t>
      </w:r>
      <w:r w:rsidRPr="004046E6">
        <w:rPr>
          <w:rFonts w:ascii="Times New Roman" w:hAnsi="Times New Roman" w:cs="Times New Roman"/>
          <w:color w:val="000000" w:themeColor="text1"/>
          <w:sz w:val="24"/>
          <w:szCs w:val="24"/>
          <w:lang w:val="en-GB"/>
        </w:rPr>
        <w:t>form Support Teams (RSTs) and the Re</w:t>
      </w:r>
      <w:r w:rsidR="00C7554E">
        <w:rPr>
          <w:rFonts w:ascii="Times New Roman" w:hAnsi="Times New Roman" w:cs="Times New Roman"/>
          <w:color w:val="000000" w:themeColor="text1"/>
          <w:sz w:val="24"/>
          <w:szCs w:val="24"/>
          <w:lang w:val="en-GB"/>
        </w:rPr>
        <w:t>covery and Re</w:t>
      </w:r>
      <w:r w:rsidRPr="004046E6">
        <w:rPr>
          <w:rFonts w:ascii="Times New Roman" w:hAnsi="Times New Roman" w:cs="Times New Roman"/>
          <w:color w:val="000000" w:themeColor="text1"/>
          <w:sz w:val="24"/>
          <w:szCs w:val="24"/>
          <w:lang w:val="en-GB"/>
        </w:rPr>
        <w:t>form Delivery Office (RDO), as well as other EU-funded projects in the relevant fields.</w:t>
      </w:r>
    </w:p>
    <w:p w14:paraId="6F3BD795" w14:textId="77777777" w:rsidR="000F328E" w:rsidRPr="004046E6" w:rsidRDefault="000F328E" w:rsidP="000F328E">
      <w:pPr>
        <w:spacing w:after="0" w:line="240" w:lineRule="auto"/>
        <w:jc w:val="both"/>
        <w:rPr>
          <w:rFonts w:ascii="Times New Roman" w:hAnsi="Times New Roman" w:cs="Times New Roman"/>
          <w:color w:val="000000" w:themeColor="text1"/>
          <w:sz w:val="24"/>
          <w:szCs w:val="24"/>
          <w:lang w:val="en-GB"/>
        </w:rPr>
      </w:pPr>
    </w:p>
    <w:p w14:paraId="65CA6AD5" w14:textId="77777777" w:rsidR="000F328E" w:rsidRPr="004046E6" w:rsidRDefault="000F328E" w:rsidP="000F328E">
      <w:pPr>
        <w:pBdr>
          <w:top w:val="nil"/>
          <w:left w:val="nil"/>
          <w:bottom w:val="nil"/>
          <w:right w:val="nil"/>
          <w:between w:val="nil"/>
          <w:bar w:val="nil"/>
        </w:pBdr>
        <w:spacing w:before="120" w:after="0" w:line="240" w:lineRule="auto"/>
        <w:jc w:val="both"/>
        <w:rPr>
          <w:rFonts w:ascii="Times New Roman" w:eastAsia="Arial Unicode MS" w:hAnsi="Times New Roman" w:cs="Times New Roman"/>
          <w:b/>
          <w:sz w:val="24"/>
          <w:szCs w:val="24"/>
          <w:bdr w:val="nil"/>
          <w:lang w:val="en-US" w:eastAsia="en-GB"/>
          <w14:textOutline w14:w="0" w14:cap="flat" w14:cmpd="sng" w14:algn="ctr">
            <w14:noFill/>
            <w14:prstDash w14:val="solid"/>
            <w14:bevel/>
          </w14:textOutline>
        </w:rPr>
      </w:pPr>
      <w:r w:rsidRPr="004046E6">
        <w:rPr>
          <w:rFonts w:ascii="Times New Roman" w:eastAsia="Arial Unicode MS" w:hAnsi="Times New Roman" w:cs="Times New Roman"/>
          <w:b/>
          <w:sz w:val="24"/>
          <w:szCs w:val="24"/>
          <w:bdr w:val="nil"/>
          <w:lang w:val="en-US" w:eastAsia="en-GB"/>
          <w14:textOutline w14:w="0" w14:cap="flat" w14:cmpd="sng" w14:algn="ctr">
            <w14:noFill/>
            <w14:prstDash w14:val="solid"/>
            <w14:bevel/>
          </w14:textOutline>
        </w:rPr>
        <w:t>2.1. Required expertise</w:t>
      </w:r>
    </w:p>
    <w:p w14:paraId="21716963" w14:textId="77777777" w:rsidR="000F328E" w:rsidRPr="004046E6" w:rsidRDefault="000F328E" w:rsidP="000F328E">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bdr w:val="nil"/>
          <w:lang w:val="en-GB" w:eastAsia="en-GB"/>
          <w14:textOutline w14:w="0" w14:cap="flat" w14:cmpd="sng" w14:algn="ctr">
            <w14:noFill/>
            <w14:prstDash w14:val="solid"/>
            <w14:bevel/>
          </w14:textOutline>
        </w:rPr>
      </w:pPr>
    </w:p>
    <w:p w14:paraId="618E6DFC" w14:textId="36606A53" w:rsidR="000F328E" w:rsidRPr="004046E6" w:rsidRDefault="000F328E" w:rsidP="000F328E">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bdr w:val="nil"/>
          <w:lang w:val="en-US" w:eastAsia="en-GB"/>
          <w14:textOutline w14:w="0" w14:cap="flat" w14:cmpd="sng" w14:algn="ctr">
            <w14:noFill/>
            <w14:prstDash w14:val="solid"/>
            <w14:bevel/>
          </w14:textOutline>
        </w:rPr>
      </w:pPr>
      <w:r w:rsidRPr="004046E6">
        <w:rPr>
          <w:rFonts w:ascii="Times New Roman" w:eastAsia="Arial Unicode MS" w:hAnsi="Times New Roman" w:cs="Times New Roman"/>
          <w:sz w:val="24"/>
          <w:szCs w:val="24"/>
          <w:bdr w:val="nil"/>
          <w:lang w:val="en-GB" w:eastAsia="en-GB"/>
          <w14:textOutline w14:w="0" w14:cap="flat" w14:cmpd="sng" w14:algn="ctr">
            <w14:noFill/>
            <w14:prstDash w14:val="solid"/>
            <w14:bevel/>
          </w14:textOutline>
        </w:rPr>
        <w:t xml:space="preserve">In close coordination with other EU-funded projects linked to legal approximation, the RST will provide assistance </w:t>
      </w:r>
      <w:r w:rsidRPr="004046E6">
        <w:rPr>
          <w:rFonts w:ascii="Times New Roman" w:eastAsia="Arial Unicode MS" w:hAnsi="Times New Roman" w:cs="Times New Roman"/>
          <w:sz w:val="24"/>
          <w:szCs w:val="24"/>
          <w:bdr w:val="nil"/>
          <w:lang w:val="en-US" w:eastAsia="en-GB"/>
          <w14:textOutline w14:w="0" w14:cap="flat" w14:cmpd="sng" w14:algn="ctr">
            <w14:noFill/>
            <w14:prstDash w14:val="solid"/>
            <w14:bevel/>
          </w14:textOutline>
        </w:rPr>
        <w:t xml:space="preserve">within the framework of 6 thematic clusters covering all negotiating chapters of EU acquis. </w:t>
      </w:r>
    </w:p>
    <w:p w14:paraId="301E3C28" w14:textId="77777777" w:rsidR="000F328E" w:rsidRPr="004046E6" w:rsidRDefault="000F328E" w:rsidP="000F328E">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bdr w:val="nil"/>
          <w:lang w:val="en-US" w:eastAsia="en-GB"/>
          <w14:textOutline w14:w="0" w14:cap="flat" w14:cmpd="sng" w14:algn="ctr">
            <w14:noFill/>
            <w14:prstDash w14:val="solid"/>
            <w14:bevel/>
          </w14:textOutline>
        </w:rPr>
      </w:pPr>
      <w:r w:rsidRPr="004046E6">
        <w:rPr>
          <w:rFonts w:ascii="Times New Roman" w:eastAsia="Arial Unicode MS" w:hAnsi="Times New Roman" w:cs="Times New Roman"/>
          <w:sz w:val="24"/>
          <w:szCs w:val="24"/>
          <w:bdr w:val="nil"/>
          <w:lang w:val="en-US" w:eastAsia="en-GB"/>
          <w14:textOutline w14:w="0" w14:cap="flat" w14:cmpd="sng" w14:algn="ctr">
            <w14:noFill/>
            <w14:prstDash w14:val="solid"/>
            <w14:bevel/>
          </w14:textOutline>
        </w:rPr>
        <w:t xml:space="preserve">A Senior Legal Expert is expected to cover one of the nine priority areas of EU acquis, as defined below (which is a mandatory requirement) in combination with two additional ones (which is a supplementary requirement) </w:t>
      </w:r>
      <w:r w:rsidRPr="004046E6">
        <w:rPr>
          <w:rFonts w:ascii="Times New Roman" w:eastAsia="Arial Unicode MS" w:hAnsi="Times New Roman" w:cs="Times New Roman"/>
          <w:b/>
          <w:sz w:val="24"/>
          <w:szCs w:val="24"/>
          <w:bdr w:val="nil"/>
          <w:lang w:val="en-US" w:eastAsia="en-GB"/>
          <w14:textOutline w14:w="0" w14:cap="flat" w14:cmpd="sng" w14:algn="ctr">
            <w14:noFill/>
            <w14:prstDash w14:val="solid"/>
            <w14:bevel/>
          </w14:textOutline>
        </w:rPr>
        <w:t>to be indicated by an applicant during the submission process</w:t>
      </w:r>
      <w:r w:rsidRPr="004046E6">
        <w:rPr>
          <w:rFonts w:ascii="Times New Roman" w:eastAsia="Arial Unicode MS" w:hAnsi="Times New Roman" w:cs="Times New Roman"/>
          <w:sz w:val="24"/>
          <w:szCs w:val="24"/>
          <w:bdr w:val="nil"/>
          <w:lang w:eastAsia="en-GB"/>
          <w14:textOutline w14:w="0" w14:cap="flat" w14:cmpd="sng" w14:algn="ctr">
            <w14:noFill/>
            <w14:prstDash w14:val="solid"/>
            <w14:bevel/>
          </w14:textOutline>
        </w:rPr>
        <w:t xml:space="preserve">. </w:t>
      </w:r>
      <w:r w:rsidRPr="004046E6">
        <w:rPr>
          <w:rFonts w:ascii="Times New Roman" w:eastAsia="Arial Unicode MS" w:hAnsi="Times New Roman" w:cs="Times New Roman"/>
          <w:sz w:val="24"/>
          <w:szCs w:val="24"/>
          <w:bdr w:val="nil"/>
          <w:lang w:val="en-US" w:eastAsia="en-GB"/>
          <w14:textOutline w14:w="0" w14:cap="flat" w14:cmpd="sng" w14:algn="ctr">
            <w14:noFill/>
            <w14:prstDash w14:val="solid"/>
            <w14:bevel/>
          </w14:textOutline>
        </w:rPr>
        <w:t xml:space="preserve">The preferable combination is provided in brackets next to each priority area of EU acquis in section 2.2. Versatility in EU acquis expertise will be considered as an advantage. </w:t>
      </w:r>
    </w:p>
    <w:p w14:paraId="12F69BAF" w14:textId="77777777" w:rsidR="000F328E" w:rsidRPr="004046E6" w:rsidRDefault="000F328E" w:rsidP="000F328E">
      <w:pPr>
        <w:widowControl w:val="0"/>
        <w:tabs>
          <w:tab w:val="left" w:pos="10065"/>
        </w:tabs>
        <w:autoSpaceDE w:val="0"/>
        <w:autoSpaceDN w:val="0"/>
        <w:spacing w:after="0" w:line="240" w:lineRule="auto"/>
        <w:ind w:right="289"/>
        <w:jc w:val="both"/>
        <w:rPr>
          <w:rFonts w:ascii="Times New Roman" w:eastAsia="Arial" w:hAnsi="Times New Roman" w:cs="Times New Roman"/>
          <w:b/>
          <w:sz w:val="24"/>
          <w:szCs w:val="24"/>
          <w:lang w:val="en-GB" w:eastAsia="ru-RU" w:bidi="ru-RU"/>
        </w:rPr>
      </w:pPr>
    </w:p>
    <w:p w14:paraId="19BF3130" w14:textId="77777777" w:rsidR="000F328E" w:rsidRPr="004046E6" w:rsidRDefault="000F328E" w:rsidP="000F328E">
      <w:pPr>
        <w:shd w:val="clear" w:color="auto" w:fill="FFFFFF"/>
        <w:spacing w:after="0" w:line="233" w:lineRule="atLeast"/>
        <w:rPr>
          <w:rFonts w:ascii="Times New Roman" w:eastAsia="Arial Unicode MS" w:hAnsi="Times New Roman" w:cs="Times New Roman"/>
          <w:b/>
          <w:sz w:val="24"/>
          <w:szCs w:val="24"/>
          <w:bdr w:val="nil"/>
          <w:lang w:val="en-GB" w:eastAsia="en-GB"/>
          <w14:textOutline w14:w="0" w14:cap="flat" w14:cmpd="sng" w14:algn="ctr">
            <w14:noFill/>
            <w14:prstDash w14:val="solid"/>
            <w14:bevel/>
          </w14:textOutline>
        </w:rPr>
      </w:pPr>
      <w:r w:rsidRPr="004046E6">
        <w:rPr>
          <w:rFonts w:ascii="Times New Roman" w:eastAsia="Arial Unicode MS" w:hAnsi="Times New Roman" w:cs="Times New Roman"/>
          <w:b/>
          <w:sz w:val="24"/>
          <w:szCs w:val="24"/>
          <w:bdr w:val="nil"/>
          <w:lang w:val="en-GB" w:eastAsia="en-GB"/>
          <w14:textOutline w14:w="0" w14:cap="flat" w14:cmpd="sng" w14:algn="ctr">
            <w14:noFill/>
            <w14:prstDash w14:val="solid"/>
            <w14:bevel/>
          </w14:textOutline>
        </w:rPr>
        <w:t>2.2. Priority areas of EU acquis</w:t>
      </w:r>
    </w:p>
    <w:p w14:paraId="56CEC325" w14:textId="77777777" w:rsidR="000F328E" w:rsidRPr="004046E6" w:rsidRDefault="000F328E" w:rsidP="000F328E">
      <w:pPr>
        <w:shd w:val="clear" w:color="auto" w:fill="FFFFFF"/>
        <w:spacing w:after="0" w:line="233" w:lineRule="atLeast"/>
        <w:rPr>
          <w:rFonts w:ascii="Times New Roman" w:eastAsia="Arial Unicode MS" w:hAnsi="Times New Roman" w:cs="Times New Roman"/>
          <w:b/>
          <w:sz w:val="24"/>
          <w:szCs w:val="24"/>
          <w:bdr w:val="nil"/>
          <w:lang w:val="en-GB" w:eastAsia="en-GB"/>
          <w14:textOutline w14:w="0" w14:cap="flat" w14:cmpd="sng" w14:algn="ctr">
            <w14:noFill/>
            <w14:prstDash w14:val="solid"/>
            <w14:bevel/>
          </w14:textOutline>
        </w:rPr>
      </w:pPr>
    </w:p>
    <w:p w14:paraId="552151EF" w14:textId="77777777" w:rsidR="000F328E" w:rsidRDefault="000F328E" w:rsidP="000F328E">
      <w:pPr>
        <w:widowControl w:val="0"/>
        <w:numPr>
          <w:ilvl w:val="0"/>
          <w:numId w:val="10"/>
        </w:numPr>
        <w:shd w:val="clear" w:color="auto" w:fill="FFFFFF"/>
        <w:autoSpaceDE w:val="0"/>
        <w:autoSpaceDN w:val="0"/>
        <w:spacing w:after="0" w:line="233" w:lineRule="atLeast"/>
        <w:ind w:left="360"/>
        <w:rPr>
          <w:rFonts w:ascii="Times New Roman" w:eastAsia="Arial Unicode MS" w:hAnsi="Times New Roman" w:cs="Times New Roman"/>
          <w:sz w:val="24"/>
          <w:szCs w:val="24"/>
          <w:bdr w:val="nil"/>
          <w:lang w:val="en-GB" w:eastAsia="en-GB"/>
          <w14:textOutline w14:w="0" w14:cap="flat" w14:cmpd="sng" w14:algn="ctr">
            <w14:noFill/>
            <w14:prstDash w14:val="solid"/>
            <w14:bevel/>
          </w14:textOutline>
        </w:rPr>
      </w:pPr>
      <w:r w:rsidRPr="004046E6">
        <w:rPr>
          <w:rFonts w:ascii="Times New Roman" w:eastAsia="Arial Unicode MS" w:hAnsi="Times New Roman" w:cs="Times New Roman"/>
          <w:sz w:val="24"/>
          <w:szCs w:val="24"/>
          <w:bdr w:val="nil"/>
          <w:lang w:val="en-GB" w:eastAsia="en-GB"/>
          <w14:textOutline w14:w="0" w14:cap="flat" w14:cmpd="sng" w14:algn="ctr">
            <w14:noFill/>
            <w14:prstDash w14:val="solid"/>
            <w14:bevel/>
          </w14:textOutline>
        </w:rPr>
        <w:t>Judiciary and Fundamental Rights (combined with Justice, Freedom and Security / Foreign, Security and Defence Policy and/or any extra/alternative);</w:t>
      </w:r>
    </w:p>
    <w:p w14:paraId="7A512273" w14:textId="77777777" w:rsidR="000F328E" w:rsidRDefault="000F328E" w:rsidP="000F328E">
      <w:pPr>
        <w:widowControl w:val="0"/>
        <w:shd w:val="clear" w:color="auto" w:fill="FFFFFF"/>
        <w:autoSpaceDE w:val="0"/>
        <w:autoSpaceDN w:val="0"/>
        <w:spacing w:after="0" w:line="233" w:lineRule="atLeast"/>
        <w:ind w:left="360"/>
        <w:rPr>
          <w:rFonts w:ascii="Times New Roman" w:eastAsia="Arial Unicode MS" w:hAnsi="Times New Roman" w:cs="Times New Roman"/>
          <w:sz w:val="24"/>
          <w:szCs w:val="24"/>
          <w:bdr w:val="nil"/>
          <w:lang w:val="en-GB" w:eastAsia="en-GB"/>
          <w14:textOutline w14:w="0" w14:cap="flat" w14:cmpd="sng" w14:algn="ctr">
            <w14:noFill/>
            <w14:prstDash w14:val="solid"/>
            <w14:bevel/>
          </w14:textOutline>
        </w:rPr>
      </w:pPr>
    </w:p>
    <w:p w14:paraId="15A393CF" w14:textId="77777777" w:rsidR="000F328E" w:rsidRPr="004046E6" w:rsidRDefault="000F328E" w:rsidP="000F328E">
      <w:pPr>
        <w:widowControl w:val="0"/>
        <w:numPr>
          <w:ilvl w:val="0"/>
          <w:numId w:val="10"/>
        </w:numPr>
        <w:shd w:val="clear" w:color="auto" w:fill="FFFFFF"/>
        <w:autoSpaceDE w:val="0"/>
        <w:autoSpaceDN w:val="0"/>
        <w:spacing w:after="0" w:line="233" w:lineRule="atLeast"/>
        <w:ind w:left="360"/>
        <w:rPr>
          <w:rFonts w:ascii="Times New Roman" w:eastAsia="Arial Unicode MS" w:hAnsi="Times New Roman" w:cs="Times New Roman"/>
          <w:sz w:val="24"/>
          <w:szCs w:val="24"/>
          <w:bdr w:val="nil"/>
          <w:lang w:val="en-GB" w:eastAsia="en-GB"/>
          <w14:textOutline w14:w="0" w14:cap="flat" w14:cmpd="sng" w14:algn="ctr">
            <w14:noFill/>
            <w14:prstDash w14:val="solid"/>
            <w14:bevel/>
          </w14:textOutline>
        </w:rPr>
      </w:pPr>
      <w:r w:rsidRPr="004046E6">
        <w:rPr>
          <w:rFonts w:ascii="Times New Roman" w:eastAsia="Arial Unicode MS" w:hAnsi="Times New Roman" w:cs="Times New Roman"/>
          <w:sz w:val="24"/>
          <w:szCs w:val="24"/>
          <w:bdr w:val="nil"/>
          <w:lang w:val="en-US" w:eastAsia="en-GB"/>
          <w14:textOutline w14:w="0" w14:cap="flat" w14:cmpd="sng" w14:algn="ctr">
            <w14:noFill/>
            <w14:prstDash w14:val="solid"/>
            <w14:bevel/>
          </w14:textOutline>
        </w:rPr>
        <w:t>Social Policy and Employment</w:t>
      </w:r>
      <w:r>
        <w:rPr>
          <w:rStyle w:val="a7"/>
          <w:rFonts w:ascii="Times New Roman" w:eastAsia="Arial Unicode MS" w:hAnsi="Times New Roman" w:cs="Times New Roman"/>
          <w:sz w:val="24"/>
          <w:szCs w:val="24"/>
          <w:bdr w:val="nil"/>
          <w:lang w:val="en-US" w:eastAsia="en-GB"/>
          <w14:textOutline w14:w="0" w14:cap="flat" w14:cmpd="sng" w14:algn="ctr">
            <w14:noFill/>
            <w14:prstDash w14:val="solid"/>
            <w14:bevel/>
          </w14:textOutline>
        </w:rPr>
        <w:footnoteReference w:id="2"/>
      </w:r>
      <w:r w:rsidRPr="004046E6">
        <w:rPr>
          <w:rFonts w:ascii="Times New Roman" w:eastAsia="Arial Unicode MS" w:hAnsi="Times New Roman" w:cs="Times New Roman"/>
          <w:sz w:val="24"/>
          <w:szCs w:val="24"/>
          <w:bdr w:val="nil"/>
          <w:lang w:val="en-US" w:eastAsia="en-GB"/>
          <w14:textOutline w14:w="0" w14:cap="flat" w14:cmpd="sng" w14:algn="ctr">
            <w14:noFill/>
            <w14:prstDash w14:val="solid"/>
            <w14:bevel/>
          </w14:textOutline>
        </w:rPr>
        <w:t xml:space="preserve"> (combined with Freedom of Movement for Workers</w:t>
      </w:r>
      <w:r w:rsidRPr="000F328E">
        <w:rPr>
          <w:rFonts w:ascii="Times New Roman" w:eastAsia="Arial Unicode MS" w:hAnsi="Times New Roman" w:cs="Times New Roman"/>
          <w:sz w:val="24"/>
          <w:szCs w:val="24"/>
          <w:bdr w:val="nil"/>
          <w:lang w:val="en-GB" w:eastAsia="en-GB"/>
          <w14:textOutline w14:w="0" w14:cap="flat" w14:cmpd="sng" w14:algn="ctr">
            <w14:noFill/>
            <w14:prstDash w14:val="solid"/>
            <w14:bevel/>
          </w14:textOutline>
        </w:rPr>
        <w:t xml:space="preserve"> and/or any extra/alternative</w:t>
      </w:r>
      <w:r w:rsidRPr="004046E6">
        <w:rPr>
          <w:rFonts w:ascii="Times New Roman" w:eastAsia="Arial Unicode MS" w:hAnsi="Times New Roman" w:cs="Times New Roman"/>
          <w:sz w:val="24"/>
          <w:szCs w:val="24"/>
          <w:bdr w:val="nil"/>
          <w:lang w:val="en-US" w:eastAsia="en-GB"/>
          <w14:textOutline w14:w="0" w14:cap="flat" w14:cmpd="sng" w14:algn="ctr">
            <w14:noFill/>
            <w14:prstDash w14:val="solid"/>
            <w14:bevel/>
          </w14:textOutline>
        </w:rPr>
        <w:t>)</w:t>
      </w:r>
      <w:r>
        <w:rPr>
          <w:rFonts w:ascii="Times New Roman" w:eastAsia="Arial Unicode MS" w:hAnsi="Times New Roman" w:cs="Times New Roman"/>
          <w:sz w:val="24"/>
          <w:szCs w:val="24"/>
          <w:bdr w:val="nil"/>
          <w:lang w:val="en-US" w:eastAsia="en-GB"/>
          <w14:textOutline w14:w="0" w14:cap="flat" w14:cmpd="sng" w14:algn="ctr">
            <w14:noFill/>
            <w14:prstDash w14:val="solid"/>
            <w14:bevel/>
          </w14:textOutline>
        </w:rPr>
        <w:t>;</w:t>
      </w:r>
    </w:p>
    <w:p w14:paraId="3F6A33C2" w14:textId="77777777" w:rsidR="000F328E" w:rsidRDefault="000F328E" w:rsidP="000F328E">
      <w:pPr>
        <w:pStyle w:val="a3"/>
        <w:rPr>
          <w:rFonts w:ascii="Times New Roman" w:eastAsia="Arial Unicode MS" w:hAnsi="Times New Roman" w:cs="Times New Roman"/>
          <w:sz w:val="24"/>
          <w:szCs w:val="24"/>
          <w:bdr w:val="nil"/>
          <w:lang w:val="en-GB" w:eastAsia="en-GB"/>
          <w14:textOutline w14:w="0" w14:cap="flat" w14:cmpd="sng" w14:algn="ctr">
            <w14:noFill/>
            <w14:prstDash w14:val="solid"/>
            <w14:bevel/>
          </w14:textOutline>
        </w:rPr>
      </w:pPr>
    </w:p>
    <w:p w14:paraId="68505EDC" w14:textId="77777777" w:rsidR="000F328E" w:rsidRPr="00582E9A" w:rsidRDefault="000F328E" w:rsidP="00582E9A">
      <w:pPr>
        <w:pStyle w:val="a3"/>
        <w:numPr>
          <w:ilvl w:val="0"/>
          <w:numId w:val="10"/>
        </w:numPr>
        <w:ind w:left="284" w:hanging="284"/>
        <w:rPr>
          <w:rFonts w:ascii="Times New Roman" w:eastAsia="Arial Unicode MS" w:hAnsi="Times New Roman" w:cs="Times New Roman"/>
          <w:sz w:val="24"/>
          <w:szCs w:val="24"/>
          <w:bdr w:val="nil"/>
          <w:lang w:eastAsia="en-GB"/>
          <w14:textOutline w14:w="0" w14:cap="flat" w14:cmpd="sng" w14:algn="ctr">
            <w14:noFill/>
            <w14:prstDash w14:val="solid"/>
            <w14:bevel/>
          </w14:textOutline>
        </w:rPr>
      </w:pPr>
      <w:r w:rsidRPr="00582E9A">
        <w:rPr>
          <w:rFonts w:ascii="Times New Roman" w:eastAsia="Arial Unicode MS" w:hAnsi="Times New Roman" w:cs="Times New Roman"/>
          <w:sz w:val="24"/>
          <w:szCs w:val="24"/>
          <w:bdr w:val="nil"/>
          <w:lang w:val="en-GB" w:eastAsia="en-GB"/>
          <w14:textOutline w14:w="0" w14:cap="flat" w14:cmpd="sng" w14:algn="ctr">
            <w14:noFill/>
            <w14:prstDash w14:val="solid"/>
            <w14:bevel/>
          </w14:textOutline>
        </w:rPr>
        <w:lastRenderedPageBreak/>
        <w:t xml:space="preserve">Consumer and Health Protection (combined with </w:t>
      </w:r>
      <w:r w:rsidRPr="00582E9A">
        <w:rPr>
          <w:rFonts w:ascii="Times New Roman" w:eastAsia="Arial Unicode MS" w:hAnsi="Times New Roman" w:cs="Times New Roman"/>
          <w:sz w:val="24"/>
          <w:szCs w:val="24"/>
          <w:bdr w:val="nil"/>
          <w:lang w:val="uk-UA" w:eastAsia="en-GB"/>
          <w14:textOutline w14:w="0" w14:cap="flat" w14:cmpd="sng" w14:algn="ctr">
            <w14:noFill/>
            <w14:prstDash w14:val="solid"/>
            <w14:bevel/>
          </w14:textOutline>
        </w:rPr>
        <w:t xml:space="preserve">Science and </w:t>
      </w:r>
      <w:r w:rsidR="00582E9A">
        <w:rPr>
          <w:rFonts w:ascii="Times New Roman" w:eastAsia="Arial Unicode MS" w:hAnsi="Times New Roman" w:cs="Times New Roman"/>
          <w:sz w:val="24"/>
          <w:szCs w:val="24"/>
          <w:bdr w:val="nil"/>
          <w:lang w:eastAsia="en-GB"/>
          <w14:textOutline w14:w="0" w14:cap="flat" w14:cmpd="sng" w14:algn="ctr">
            <w14:noFill/>
            <w14:prstDash w14:val="solid"/>
            <w14:bevel/>
          </w14:textOutline>
        </w:rPr>
        <w:t>R</w:t>
      </w:r>
      <w:r w:rsidRPr="00582E9A">
        <w:rPr>
          <w:rFonts w:ascii="Times New Roman" w:eastAsia="Arial Unicode MS" w:hAnsi="Times New Roman" w:cs="Times New Roman"/>
          <w:sz w:val="24"/>
          <w:szCs w:val="24"/>
          <w:bdr w:val="nil"/>
          <w:lang w:val="uk-UA" w:eastAsia="en-GB"/>
          <w14:textOutline w14:w="0" w14:cap="flat" w14:cmpd="sng" w14:algn="ctr">
            <w14:noFill/>
            <w14:prstDash w14:val="solid"/>
            <w14:bevel/>
          </w14:textOutline>
        </w:rPr>
        <w:t>esearch</w:t>
      </w:r>
      <w:r w:rsidRPr="00582E9A">
        <w:rPr>
          <w:rFonts w:ascii="Times New Roman" w:eastAsia="Arial Unicode MS" w:hAnsi="Times New Roman" w:cs="Times New Roman"/>
          <w:sz w:val="24"/>
          <w:szCs w:val="24"/>
          <w:bdr w:val="nil"/>
          <w:lang w:eastAsia="en-GB"/>
          <w14:textOutline w14:w="0" w14:cap="flat" w14:cmpd="sng" w14:algn="ctr">
            <w14:noFill/>
            <w14:prstDash w14:val="solid"/>
            <w14:bevel/>
          </w14:textOutline>
        </w:rPr>
        <w:t>/Education and culture</w:t>
      </w:r>
      <w:r w:rsidR="00582E9A" w:rsidRPr="00582E9A">
        <w:t xml:space="preserve"> </w:t>
      </w:r>
      <w:r w:rsidR="00582E9A" w:rsidRPr="00582E9A">
        <w:rPr>
          <w:rFonts w:ascii="Times New Roman" w:eastAsia="Arial Unicode MS" w:hAnsi="Times New Roman" w:cs="Times New Roman"/>
          <w:sz w:val="24"/>
          <w:szCs w:val="24"/>
          <w:bdr w:val="nil"/>
          <w:lang w:eastAsia="en-GB"/>
          <w14:textOutline w14:w="0" w14:cap="flat" w14:cmpd="sng" w14:algn="ctr">
            <w14:noFill/>
            <w14:prstDash w14:val="solid"/>
            <w14:bevel/>
          </w14:textOutline>
        </w:rPr>
        <w:t>and/or any extra/alternative)</w:t>
      </w:r>
      <w:r w:rsidRPr="00582E9A">
        <w:rPr>
          <w:rFonts w:ascii="Times New Roman" w:eastAsia="Arial Unicode MS" w:hAnsi="Times New Roman" w:cs="Times New Roman"/>
          <w:sz w:val="24"/>
          <w:szCs w:val="24"/>
          <w:bdr w:val="nil"/>
          <w:lang w:val="en-GB" w:eastAsia="en-GB"/>
          <w14:textOutline w14:w="0" w14:cap="flat" w14:cmpd="sng" w14:algn="ctr">
            <w14:noFill/>
            <w14:prstDash w14:val="solid"/>
            <w14:bevel/>
          </w14:textOutline>
        </w:rPr>
        <w:t>;</w:t>
      </w:r>
    </w:p>
    <w:p w14:paraId="6E53FF67" w14:textId="77777777" w:rsidR="000F328E" w:rsidRPr="004046E6" w:rsidRDefault="000F328E" w:rsidP="00582E9A">
      <w:pPr>
        <w:shd w:val="clear" w:color="auto" w:fill="FFFFFF"/>
        <w:spacing w:after="0" w:line="233" w:lineRule="atLeast"/>
        <w:ind w:left="284" w:hanging="284"/>
        <w:jc w:val="both"/>
        <w:rPr>
          <w:rFonts w:ascii="Times New Roman" w:eastAsia="Arial Unicode MS" w:hAnsi="Times New Roman" w:cs="Times New Roman"/>
          <w:sz w:val="24"/>
          <w:szCs w:val="24"/>
          <w:bdr w:val="nil"/>
          <w:lang w:val="en-GB" w:eastAsia="en-GB"/>
          <w14:textOutline w14:w="0" w14:cap="flat" w14:cmpd="sng" w14:algn="ctr">
            <w14:noFill/>
            <w14:prstDash w14:val="solid"/>
            <w14:bevel/>
          </w14:textOutline>
        </w:rPr>
      </w:pPr>
    </w:p>
    <w:p w14:paraId="2779F853" w14:textId="77777777" w:rsidR="000F328E" w:rsidRDefault="000F328E" w:rsidP="00582E9A">
      <w:pPr>
        <w:widowControl w:val="0"/>
        <w:numPr>
          <w:ilvl w:val="0"/>
          <w:numId w:val="10"/>
        </w:numPr>
        <w:shd w:val="clear" w:color="auto" w:fill="FFFFFF"/>
        <w:autoSpaceDE w:val="0"/>
        <w:autoSpaceDN w:val="0"/>
        <w:spacing w:after="0" w:line="240" w:lineRule="auto"/>
        <w:ind w:left="284" w:hanging="284"/>
        <w:jc w:val="both"/>
        <w:rPr>
          <w:rFonts w:ascii="Times New Roman" w:eastAsia="Arial Unicode MS" w:hAnsi="Times New Roman" w:cs="Times New Roman"/>
          <w:sz w:val="24"/>
          <w:szCs w:val="24"/>
          <w:bdr w:val="nil"/>
          <w:lang w:val="en-GB" w:eastAsia="en-GB"/>
          <w14:textOutline w14:w="0" w14:cap="flat" w14:cmpd="sng" w14:algn="ctr">
            <w14:noFill/>
            <w14:prstDash w14:val="solid"/>
            <w14:bevel/>
          </w14:textOutline>
        </w:rPr>
      </w:pPr>
      <w:r w:rsidRPr="004046E6">
        <w:rPr>
          <w:rFonts w:ascii="Times New Roman" w:eastAsia="Arial Unicode MS" w:hAnsi="Times New Roman" w:cs="Times New Roman"/>
          <w:sz w:val="24"/>
          <w:szCs w:val="24"/>
          <w:bdr w:val="nil"/>
          <w:lang w:val="en-GB" w:eastAsia="en-GB"/>
          <w14:textOutline w14:w="0" w14:cap="flat" w14:cmpd="sng" w14:algn="ctr">
            <w14:noFill/>
            <w14:prstDash w14:val="solid"/>
            <w14:bevel/>
          </w14:textOutline>
        </w:rPr>
        <w:t xml:space="preserve">Financial Services (combined with </w:t>
      </w:r>
      <w:r>
        <w:rPr>
          <w:rFonts w:ascii="Times New Roman" w:eastAsia="Arial Unicode MS" w:hAnsi="Times New Roman" w:cs="Times New Roman"/>
          <w:sz w:val="24"/>
          <w:szCs w:val="24"/>
          <w:bdr w:val="nil"/>
          <w:lang w:val="en-GB" w:eastAsia="en-GB"/>
          <w14:textOutline w14:w="0" w14:cap="flat" w14:cmpd="sng" w14:algn="ctr">
            <w14:noFill/>
            <w14:prstDash w14:val="solid"/>
            <w14:bevel/>
          </w14:textOutline>
        </w:rPr>
        <w:t>Taxation/</w:t>
      </w:r>
      <w:r w:rsidRPr="004046E6">
        <w:rPr>
          <w:rFonts w:ascii="Times New Roman" w:eastAsia="Arial Unicode MS" w:hAnsi="Times New Roman" w:cs="Times New Roman"/>
          <w:sz w:val="24"/>
          <w:szCs w:val="24"/>
          <w:bdr w:val="nil"/>
          <w:lang w:val="en-GB" w:eastAsia="en-GB"/>
          <w14:textOutline w14:w="0" w14:cap="flat" w14:cmpd="sng" w14:algn="ctr">
            <w14:noFill/>
            <w14:prstDash w14:val="solid"/>
            <w14:bevel/>
          </w14:textOutline>
        </w:rPr>
        <w:t>Customs Union</w:t>
      </w:r>
      <w:r>
        <w:rPr>
          <w:rFonts w:ascii="Times New Roman" w:eastAsia="Arial Unicode MS" w:hAnsi="Times New Roman" w:cs="Times New Roman"/>
          <w:sz w:val="24"/>
          <w:szCs w:val="24"/>
          <w:bdr w:val="nil"/>
          <w:lang w:val="en-GB" w:eastAsia="en-GB"/>
          <w14:textOutline w14:w="0" w14:cap="flat" w14:cmpd="sng" w14:algn="ctr">
            <w14:noFill/>
            <w14:prstDash w14:val="solid"/>
            <w14:bevel/>
          </w14:textOutline>
        </w:rPr>
        <w:t>/</w:t>
      </w:r>
      <w:r w:rsidRPr="000F328E">
        <w:rPr>
          <w:rFonts w:ascii="Times New Roman" w:eastAsia="Arial Unicode MS" w:hAnsi="Times New Roman" w:cs="Times New Roman"/>
          <w:sz w:val="24"/>
          <w:szCs w:val="24"/>
          <w:bdr w:val="nil"/>
          <w:lang w:val="en-GB" w:eastAsia="en-GB"/>
          <w14:textOutline w14:w="0" w14:cap="flat" w14:cmpd="sng" w14:algn="ctr">
            <w14:noFill/>
            <w14:prstDash w14:val="solid"/>
            <w14:bevel/>
          </w14:textOutline>
        </w:rPr>
        <w:t>Free movement of capital</w:t>
      </w:r>
      <w:r>
        <w:rPr>
          <w:rFonts w:ascii="Times New Roman" w:eastAsia="Arial Unicode MS" w:hAnsi="Times New Roman" w:cs="Times New Roman"/>
          <w:sz w:val="24"/>
          <w:szCs w:val="24"/>
          <w:bdr w:val="nil"/>
          <w:lang w:val="en-GB" w:eastAsia="en-GB"/>
          <w14:textOutline w14:w="0" w14:cap="flat" w14:cmpd="sng" w14:algn="ctr">
            <w14:noFill/>
            <w14:prstDash w14:val="solid"/>
            <w14:bevel/>
          </w14:textOutline>
        </w:rPr>
        <w:t xml:space="preserve"> </w:t>
      </w:r>
      <w:r w:rsidRPr="000F328E">
        <w:rPr>
          <w:rFonts w:ascii="Times New Roman" w:eastAsia="Arial Unicode MS" w:hAnsi="Times New Roman" w:cs="Times New Roman"/>
          <w:sz w:val="24"/>
          <w:szCs w:val="24"/>
          <w:bdr w:val="nil"/>
          <w:lang w:val="en-GB" w:eastAsia="en-GB"/>
          <w14:textOutline w14:w="0" w14:cap="flat" w14:cmpd="sng" w14:algn="ctr">
            <w14:noFill/>
            <w14:prstDash w14:val="solid"/>
            <w14:bevel/>
          </w14:textOutline>
        </w:rPr>
        <w:t>and/or any extra/alternative</w:t>
      </w:r>
      <w:r>
        <w:rPr>
          <w:rFonts w:ascii="Times New Roman" w:eastAsia="Arial Unicode MS" w:hAnsi="Times New Roman" w:cs="Times New Roman"/>
          <w:sz w:val="24"/>
          <w:szCs w:val="24"/>
          <w:bdr w:val="nil"/>
          <w:lang w:val="en-GB" w:eastAsia="en-GB"/>
          <w14:textOutline w14:w="0" w14:cap="flat" w14:cmpd="sng" w14:algn="ctr">
            <w14:noFill/>
            <w14:prstDash w14:val="solid"/>
            <w14:bevel/>
          </w14:textOutline>
        </w:rPr>
        <w:t>)</w:t>
      </w:r>
      <w:r w:rsidR="00582E9A">
        <w:rPr>
          <w:rFonts w:ascii="Times New Roman" w:eastAsia="Arial Unicode MS" w:hAnsi="Times New Roman" w:cs="Times New Roman"/>
          <w:sz w:val="24"/>
          <w:szCs w:val="24"/>
          <w:bdr w:val="nil"/>
          <w:lang w:val="en-GB" w:eastAsia="en-GB"/>
          <w14:textOutline w14:w="0" w14:cap="flat" w14:cmpd="sng" w14:algn="ctr">
            <w14:noFill/>
            <w14:prstDash w14:val="solid"/>
            <w14:bevel/>
          </w14:textOutline>
        </w:rPr>
        <w:t>;</w:t>
      </w:r>
    </w:p>
    <w:p w14:paraId="0D383CD5" w14:textId="77777777" w:rsidR="000F328E" w:rsidRPr="004046E6" w:rsidRDefault="000F328E" w:rsidP="00582E9A">
      <w:pPr>
        <w:shd w:val="clear" w:color="auto" w:fill="FFFFFF"/>
        <w:spacing w:after="0" w:line="233" w:lineRule="atLeast"/>
        <w:ind w:left="284" w:hanging="284"/>
        <w:jc w:val="both"/>
        <w:rPr>
          <w:rFonts w:ascii="Times New Roman" w:eastAsia="Arial Unicode MS" w:hAnsi="Times New Roman" w:cs="Times New Roman"/>
          <w:sz w:val="24"/>
          <w:szCs w:val="24"/>
          <w:bdr w:val="nil"/>
          <w:lang w:val="en-GB" w:eastAsia="en-GB"/>
          <w14:textOutline w14:w="0" w14:cap="flat" w14:cmpd="sng" w14:algn="ctr">
            <w14:noFill/>
            <w14:prstDash w14:val="solid"/>
            <w14:bevel/>
          </w14:textOutline>
        </w:rPr>
      </w:pPr>
    </w:p>
    <w:p w14:paraId="41825F17" w14:textId="77777777" w:rsidR="000F328E" w:rsidRPr="004046E6" w:rsidRDefault="000F328E" w:rsidP="00582E9A">
      <w:pPr>
        <w:widowControl w:val="0"/>
        <w:numPr>
          <w:ilvl w:val="0"/>
          <w:numId w:val="10"/>
        </w:numPr>
        <w:shd w:val="clear" w:color="auto" w:fill="FFFFFF"/>
        <w:autoSpaceDE w:val="0"/>
        <w:autoSpaceDN w:val="0"/>
        <w:spacing w:after="0" w:line="240" w:lineRule="auto"/>
        <w:ind w:left="284" w:hanging="284"/>
        <w:jc w:val="both"/>
        <w:rPr>
          <w:rFonts w:ascii="Times New Roman" w:eastAsia="Arial Unicode MS" w:hAnsi="Times New Roman" w:cs="Times New Roman"/>
          <w:sz w:val="24"/>
          <w:szCs w:val="24"/>
          <w:bdr w:val="nil"/>
          <w:lang w:val="en-GB" w:eastAsia="en-GB"/>
          <w14:textOutline w14:w="0" w14:cap="flat" w14:cmpd="sng" w14:algn="ctr">
            <w14:noFill/>
            <w14:prstDash w14:val="solid"/>
            <w14:bevel/>
          </w14:textOutline>
        </w:rPr>
      </w:pPr>
      <w:r w:rsidRPr="004046E6">
        <w:rPr>
          <w:rFonts w:ascii="Times New Roman" w:eastAsia="Arial Unicode MS" w:hAnsi="Times New Roman" w:cs="Times New Roman"/>
          <w:sz w:val="24"/>
          <w:szCs w:val="24"/>
          <w:bdr w:val="nil"/>
          <w:lang w:val="en-GB" w:eastAsia="en-GB"/>
          <w14:textOutline w14:w="0" w14:cap="flat" w14:cmpd="sng" w14:algn="ctr">
            <w14:noFill/>
            <w14:prstDash w14:val="solid"/>
            <w14:bevel/>
          </w14:textOutline>
        </w:rPr>
        <w:t>Economic and Monetary Policy (combined with</w:t>
      </w:r>
      <w:r>
        <w:rPr>
          <w:rFonts w:ascii="Times New Roman" w:eastAsia="Arial Unicode MS" w:hAnsi="Times New Roman" w:cs="Times New Roman"/>
          <w:sz w:val="24"/>
          <w:szCs w:val="24"/>
          <w:bdr w:val="nil"/>
          <w:lang w:val="en-GB" w:eastAsia="en-GB"/>
          <w14:textOutline w14:w="0" w14:cap="flat" w14:cmpd="sng" w14:algn="ctr">
            <w14:noFill/>
            <w14:prstDash w14:val="solid"/>
            <w14:bevel/>
          </w14:textOutline>
        </w:rPr>
        <w:t xml:space="preserve"> Competition</w:t>
      </w:r>
      <w:r w:rsidRPr="004046E6">
        <w:rPr>
          <w:rFonts w:ascii="Times New Roman" w:eastAsia="Arial Unicode MS" w:hAnsi="Times New Roman" w:cs="Times New Roman"/>
          <w:sz w:val="24"/>
          <w:szCs w:val="24"/>
          <w:bdr w:val="nil"/>
          <w:lang w:val="en-GB" w:eastAsia="en-GB"/>
          <w14:textOutline w14:w="0" w14:cap="flat" w14:cmpd="sng" w14:algn="ctr">
            <w14:noFill/>
            <w14:prstDash w14:val="solid"/>
            <w14:bevel/>
          </w14:textOutline>
        </w:rPr>
        <w:t>/Public Procurement/</w:t>
      </w:r>
      <w:r w:rsidRPr="000F328E">
        <w:t xml:space="preserve"> </w:t>
      </w:r>
      <w:r w:rsidRPr="000F328E">
        <w:rPr>
          <w:rFonts w:ascii="Times New Roman" w:eastAsia="Arial Unicode MS" w:hAnsi="Times New Roman" w:cs="Times New Roman"/>
          <w:sz w:val="24"/>
          <w:szCs w:val="24"/>
          <w:bdr w:val="nil"/>
          <w:lang w:val="en-GB" w:eastAsia="en-GB"/>
          <w14:textOutline w14:w="0" w14:cap="flat" w14:cmpd="sng" w14:algn="ctr">
            <w14:noFill/>
            <w14:prstDash w14:val="solid"/>
            <w14:bevel/>
          </w14:textOutline>
        </w:rPr>
        <w:t>Company law</w:t>
      </w:r>
      <w:r>
        <w:rPr>
          <w:rFonts w:ascii="Times New Roman" w:eastAsia="Arial Unicode MS" w:hAnsi="Times New Roman" w:cs="Times New Roman"/>
          <w:sz w:val="24"/>
          <w:szCs w:val="24"/>
          <w:bdr w:val="nil"/>
          <w:lang w:val="en-GB" w:eastAsia="en-GB"/>
          <w14:textOutline w14:w="0" w14:cap="flat" w14:cmpd="sng" w14:algn="ctr">
            <w14:noFill/>
            <w14:prstDash w14:val="solid"/>
            <w14:bevel/>
          </w14:textOutline>
        </w:rPr>
        <w:t>/</w:t>
      </w:r>
      <w:r w:rsidRPr="000F328E">
        <w:t xml:space="preserve"> </w:t>
      </w:r>
      <w:r w:rsidRPr="000F328E">
        <w:rPr>
          <w:rFonts w:ascii="Times New Roman" w:eastAsia="Arial Unicode MS" w:hAnsi="Times New Roman" w:cs="Times New Roman"/>
          <w:sz w:val="24"/>
          <w:szCs w:val="24"/>
          <w:bdr w:val="nil"/>
          <w:lang w:val="en-GB" w:eastAsia="en-GB"/>
          <w14:textOutline w14:w="0" w14:cap="flat" w14:cmpd="sng" w14:algn="ctr">
            <w14:noFill/>
            <w14:prstDash w14:val="solid"/>
            <w14:bevel/>
          </w14:textOutline>
        </w:rPr>
        <w:t>Financial and budgetary provisions</w:t>
      </w:r>
      <w:r w:rsidRPr="004046E6">
        <w:rPr>
          <w:rFonts w:ascii="Times New Roman" w:eastAsia="Arial Unicode MS" w:hAnsi="Times New Roman" w:cs="Times New Roman"/>
          <w:sz w:val="24"/>
          <w:szCs w:val="24"/>
          <w:bdr w:val="nil"/>
          <w:lang w:val="en-GB" w:eastAsia="en-GB"/>
          <w14:textOutline w14:w="0" w14:cap="flat" w14:cmpd="sng" w14:algn="ctr">
            <w14:noFill/>
            <w14:prstDash w14:val="solid"/>
            <w14:bevel/>
          </w14:textOutline>
        </w:rPr>
        <w:t> and/or any extra/alternative);</w:t>
      </w:r>
    </w:p>
    <w:p w14:paraId="4186D989" w14:textId="77777777" w:rsidR="000F328E" w:rsidRPr="004046E6" w:rsidRDefault="000F328E" w:rsidP="00582E9A">
      <w:pPr>
        <w:shd w:val="clear" w:color="auto" w:fill="FFFFFF"/>
        <w:spacing w:after="0" w:line="240" w:lineRule="auto"/>
        <w:ind w:left="284" w:hanging="284"/>
        <w:jc w:val="both"/>
        <w:rPr>
          <w:rFonts w:ascii="Times New Roman" w:eastAsia="Arial Unicode MS" w:hAnsi="Times New Roman" w:cs="Times New Roman"/>
          <w:sz w:val="24"/>
          <w:szCs w:val="24"/>
          <w:bdr w:val="nil"/>
          <w:lang w:val="en-GB" w:eastAsia="en-GB"/>
          <w14:textOutline w14:w="0" w14:cap="flat" w14:cmpd="sng" w14:algn="ctr">
            <w14:noFill/>
            <w14:prstDash w14:val="solid"/>
            <w14:bevel/>
          </w14:textOutline>
        </w:rPr>
      </w:pPr>
    </w:p>
    <w:p w14:paraId="6D5430FD" w14:textId="77777777" w:rsidR="000F328E" w:rsidRPr="004046E6" w:rsidRDefault="000F328E" w:rsidP="00582E9A">
      <w:pPr>
        <w:widowControl w:val="0"/>
        <w:numPr>
          <w:ilvl w:val="0"/>
          <w:numId w:val="10"/>
        </w:numPr>
        <w:shd w:val="clear" w:color="auto" w:fill="FFFFFF"/>
        <w:autoSpaceDE w:val="0"/>
        <w:autoSpaceDN w:val="0"/>
        <w:spacing w:after="0" w:line="240" w:lineRule="auto"/>
        <w:ind w:left="284" w:hanging="284"/>
        <w:jc w:val="both"/>
        <w:rPr>
          <w:rFonts w:ascii="Times New Roman" w:eastAsia="Arial Unicode MS" w:hAnsi="Times New Roman" w:cs="Times New Roman"/>
          <w:sz w:val="24"/>
          <w:szCs w:val="24"/>
          <w:bdr w:val="nil"/>
          <w:lang w:val="en-GB" w:eastAsia="en-GB"/>
          <w14:textOutline w14:w="0" w14:cap="flat" w14:cmpd="sng" w14:algn="ctr">
            <w14:noFill/>
            <w14:prstDash w14:val="solid"/>
            <w14:bevel/>
          </w14:textOutline>
        </w:rPr>
      </w:pPr>
      <w:r w:rsidRPr="004046E6">
        <w:rPr>
          <w:rFonts w:ascii="Times New Roman" w:eastAsia="Arial Unicode MS" w:hAnsi="Times New Roman" w:cs="Times New Roman"/>
          <w:sz w:val="24"/>
          <w:szCs w:val="24"/>
          <w:bdr w:val="nil"/>
          <w:lang w:val="en-GB" w:eastAsia="en-GB"/>
          <w14:textOutline w14:w="0" w14:cap="flat" w14:cmpd="sng" w14:algn="ctr">
            <w14:noFill/>
            <w14:prstDash w14:val="solid"/>
            <w14:bevel/>
          </w14:textOutline>
        </w:rPr>
        <w:t>Energy</w:t>
      </w:r>
      <w:r>
        <w:rPr>
          <w:rFonts w:ascii="Times New Roman" w:eastAsia="Arial Unicode MS" w:hAnsi="Times New Roman" w:cs="Times New Roman"/>
          <w:sz w:val="24"/>
          <w:szCs w:val="24"/>
          <w:bdr w:val="nil"/>
          <w:lang w:val="en-GB" w:eastAsia="en-GB"/>
          <w14:textOutline w14:w="0" w14:cap="flat" w14:cmpd="sng" w14:algn="ctr">
            <w14:noFill/>
            <w14:prstDash w14:val="solid"/>
            <w14:bevel/>
          </w14:textOutline>
        </w:rPr>
        <w:t xml:space="preserve"> (combined with </w:t>
      </w:r>
      <w:r w:rsidRPr="000F328E">
        <w:rPr>
          <w:rFonts w:ascii="Times New Roman" w:eastAsia="Arial Unicode MS" w:hAnsi="Times New Roman" w:cs="Times New Roman"/>
          <w:sz w:val="24"/>
          <w:szCs w:val="24"/>
          <w:bdr w:val="nil"/>
          <w:lang w:val="en-GB" w:eastAsia="en-GB"/>
          <w14:textOutline w14:w="0" w14:cap="flat" w14:cmpd="sng" w14:algn="ctr">
            <w14:noFill/>
            <w14:prstDash w14:val="solid"/>
            <w14:bevel/>
          </w14:textOutline>
        </w:rPr>
        <w:t>Trans-European networks</w:t>
      </w:r>
      <w:r>
        <w:rPr>
          <w:rFonts w:ascii="Times New Roman" w:eastAsia="Arial Unicode MS" w:hAnsi="Times New Roman" w:cs="Times New Roman"/>
          <w:sz w:val="24"/>
          <w:szCs w:val="24"/>
          <w:bdr w:val="nil"/>
          <w:lang w:val="en-GB" w:eastAsia="en-GB"/>
          <w14:textOutline w14:w="0" w14:cap="flat" w14:cmpd="sng" w14:algn="ctr">
            <w14:noFill/>
            <w14:prstDash w14:val="solid"/>
            <w14:bevel/>
          </w14:textOutline>
        </w:rPr>
        <w:t xml:space="preserve"> </w:t>
      </w:r>
      <w:r w:rsidRPr="000F328E">
        <w:rPr>
          <w:rFonts w:ascii="Times New Roman" w:eastAsia="Arial Unicode MS" w:hAnsi="Times New Roman" w:cs="Times New Roman"/>
          <w:sz w:val="24"/>
          <w:szCs w:val="24"/>
          <w:bdr w:val="nil"/>
          <w:lang w:val="en-GB" w:eastAsia="en-GB"/>
          <w14:textOutline w14:w="0" w14:cap="flat" w14:cmpd="sng" w14:algn="ctr">
            <w14:noFill/>
            <w14:prstDash w14:val="solid"/>
            <w14:bevel/>
          </w14:textOutline>
        </w:rPr>
        <w:t>and/or any extra/alternative)</w:t>
      </w:r>
      <w:r w:rsidRPr="004046E6">
        <w:rPr>
          <w:rFonts w:ascii="Times New Roman" w:eastAsia="Arial Unicode MS" w:hAnsi="Times New Roman" w:cs="Times New Roman"/>
          <w:sz w:val="24"/>
          <w:szCs w:val="24"/>
          <w:bdr w:val="nil"/>
          <w:lang w:val="en-GB" w:eastAsia="en-GB"/>
          <w14:textOutline w14:w="0" w14:cap="flat" w14:cmpd="sng" w14:algn="ctr">
            <w14:noFill/>
            <w14:prstDash w14:val="solid"/>
            <w14:bevel/>
          </w14:textOutline>
        </w:rPr>
        <w:t>;</w:t>
      </w:r>
    </w:p>
    <w:p w14:paraId="51E83A0B" w14:textId="77777777" w:rsidR="000F328E" w:rsidRPr="004046E6" w:rsidRDefault="000F328E" w:rsidP="00582E9A">
      <w:pPr>
        <w:shd w:val="clear" w:color="auto" w:fill="FFFFFF"/>
        <w:spacing w:after="0" w:line="240" w:lineRule="auto"/>
        <w:ind w:left="284" w:hanging="284"/>
        <w:jc w:val="both"/>
        <w:rPr>
          <w:rFonts w:ascii="Times New Roman" w:eastAsia="Arial Unicode MS" w:hAnsi="Times New Roman" w:cs="Times New Roman"/>
          <w:sz w:val="24"/>
          <w:szCs w:val="24"/>
          <w:bdr w:val="nil"/>
          <w:lang w:val="en-GB" w:eastAsia="en-GB"/>
          <w14:textOutline w14:w="0" w14:cap="flat" w14:cmpd="sng" w14:algn="ctr">
            <w14:noFill/>
            <w14:prstDash w14:val="solid"/>
            <w14:bevel/>
          </w14:textOutline>
        </w:rPr>
      </w:pPr>
    </w:p>
    <w:p w14:paraId="550793A2" w14:textId="77777777" w:rsidR="000F328E" w:rsidRPr="004046E6" w:rsidRDefault="000F328E" w:rsidP="00582E9A">
      <w:pPr>
        <w:widowControl w:val="0"/>
        <w:numPr>
          <w:ilvl w:val="0"/>
          <w:numId w:val="10"/>
        </w:numPr>
        <w:shd w:val="clear" w:color="auto" w:fill="FFFFFF"/>
        <w:autoSpaceDE w:val="0"/>
        <w:autoSpaceDN w:val="0"/>
        <w:spacing w:after="0" w:line="240" w:lineRule="auto"/>
        <w:ind w:left="284" w:hanging="284"/>
        <w:jc w:val="both"/>
        <w:rPr>
          <w:rFonts w:ascii="Times New Roman" w:eastAsia="Arial Unicode MS" w:hAnsi="Times New Roman" w:cs="Times New Roman"/>
          <w:sz w:val="24"/>
          <w:szCs w:val="24"/>
          <w:bdr w:val="nil"/>
          <w:lang w:val="en-GB" w:eastAsia="en-GB"/>
          <w14:textOutline w14:w="0" w14:cap="flat" w14:cmpd="sng" w14:algn="ctr">
            <w14:noFill/>
            <w14:prstDash w14:val="solid"/>
            <w14:bevel/>
          </w14:textOutline>
        </w:rPr>
      </w:pPr>
      <w:r w:rsidRPr="004046E6">
        <w:rPr>
          <w:rFonts w:ascii="Times New Roman" w:eastAsia="Arial Unicode MS" w:hAnsi="Times New Roman" w:cs="Times New Roman"/>
          <w:sz w:val="24"/>
          <w:szCs w:val="24"/>
          <w:bdr w:val="nil"/>
          <w:lang w:val="en-GB" w:eastAsia="en-GB"/>
          <w14:textOutline w14:w="0" w14:cap="flat" w14:cmpd="sng" w14:algn="ctr">
            <w14:noFill/>
            <w14:prstDash w14:val="solid"/>
            <w14:bevel/>
          </w14:textOutline>
        </w:rPr>
        <w:t>Environment</w:t>
      </w:r>
      <w:r w:rsidR="00582E9A">
        <w:rPr>
          <w:rFonts w:ascii="Times New Roman" w:eastAsia="Arial Unicode MS" w:hAnsi="Times New Roman" w:cs="Times New Roman"/>
          <w:sz w:val="24"/>
          <w:szCs w:val="24"/>
          <w:bdr w:val="nil"/>
          <w:lang w:val="en-GB" w:eastAsia="en-GB"/>
          <w14:textOutline w14:w="0" w14:cap="flat" w14:cmpd="sng" w14:algn="ctr">
            <w14:noFill/>
            <w14:prstDash w14:val="solid"/>
            <w14:bevel/>
          </w14:textOutline>
        </w:rPr>
        <w:t xml:space="preserve"> (combined with Energy </w:t>
      </w:r>
      <w:r w:rsidR="00582E9A" w:rsidRPr="00582E9A">
        <w:rPr>
          <w:rFonts w:ascii="Times New Roman" w:eastAsia="Arial Unicode MS" w:hAnsi="Times New Roman" w:cs="Times New Roman"/>
          <w:sz w:val="24"/>
          <w:szCs w:val="24"/>
          <w:bdr w:val="nil"/>
          <w:lang w:val="en-GB" w:eastAsia="en-GB"/>
          <w14:textOutline w14:w="0" w14:cap="flat" w14:cmpd="sng" w14:algn="ctr">
            <w14:noFill/>
            <w14:prstDash w14:val="solid"/>
            <w14:bevel/>
          </w14:textOutline>
        </w:rPr>
        <w:t>and/or any extra/alternative)</w:t>
      </w:r>
      <w:r w:rsidRPr="004046E6">
        <w:rPr>
          <w:rFonts w:ascii="Times New Roman" w:eastAsia="Arial Unicode MS" w:hAnsi="Times New Roman" w:cs="Times New Roman"/>
          <w:sz w:val="24"/>
          <w:szCs w:val="24"/>
          <w:bdr w:val="nil"/>
          <w:lang w:val="en-GB" w:eastAsia="en-GB"/>
          <w14:textOutline w14:w="0" w14:cap="flat" w14:cmpd="sng" w14:algn="ctr">
            <w14:noFill/>
            <w14:prstDash w14:val="solid"/>
            <w14:bevel/>
          </w14:textOutline>
        </w:rPr>
        <w:t>;</w:t>
      </w:r>
    </w:p>
    <w:p w14:paraId="1EB78D50" w14:textId="77777777" w:rsidR="000F328E" w:rsidRPr="004046E6" w:rsidRDefault="000F328E" w:rsidP="00582E9A">
      <w:pPr>
        <w:shd w:val="clear" w:color="auto" w:fill="FFFFFF"/>
        <w:spacing w:after="0" w:line="233" w:lineRule="atLeast"/>
        <w:ind w:left="284" w:hanging="284"/>
        <w:jc w:val="both"/>
        <w:rPr>
          <w:rFonts w:ascii="Times New Roman" w:eastAsia="Arial Unicode MS" w:hAnsi="Times New Roman" w:cs="Times New Roman"/>
          <w:sz w:val="24"/>
          <w:szCs w:val="24"/>
          <w:bdr w:val="nil"/>
          <w:lang w:val="en-GB" w:eastAsia="en-GB"/>
          <w14:textOutline w14:w="0" w14:cap="flat" w14:cmpd="sng" w14:algn="ctr">
            <w14:noFill/>
            <w14:prstDash w14:val="solid"/>
            <w14:bevel/>
          </w14:textOutline>
        </w:rPr>
      </w:pPr>
    </w:p>
    <w:p w14:paraId="02B4F947" w14:textId="77777777" w:rsidR="000F328E" w:rsidRPr="004046E6" w:rsidRDefault="000F328E" w:rsidP="00582E9A">
      <w:pPr>
        <w:widowControl w:val="0"/>
        <w:numPr>
          <w:ilvl w:val="0"/>
          <w:numId w:val="10"/>
        </w:numPr>
        <w:shd w:val="clear" w:color="auto" w:fill="FFFFFF"/>
        <w:autoSpaceDE w:val="0"/>
        <w:autoSpaceDN w:val="0"/>
        <w:spacing w:after="0" w:line="240" w:lineRule="auto"/>
        <w:ind w:left="284" w:hanging="284"/>
        <w:jc w:val="both"/>
        <w:rPr>
          <w:rFonts w:ascii="Times New Roman" w:eastAsia="Arial Unicode MS" w:hAnsi="Times New Roman" w:cs="Times New Roman"/>
          <w:sz w:val="24"/>
          <w:szCs w:val="24"/>
          <w:bdr w:val="nil"/>
          <w:lang w:val="en-GB" w:eastAsia="en-GB"/>
          <w14:textOutline w14:w="0" w14:cap="flat" w14:cmpd="sng" w14:algn="ctr">
            <w14:noFill/>
            <w14:prstDash w14:val="solid"/>
            <w14:bevel/>
          </w14:textOutline>
        </w:rPr>
      </w:pPr>
      <w:r w:rsidRPr="004046E6">
        <w:rPr>
          <w:rFonts w:ascii="Times New Roman" w:eastAsia="Arial Unicode MS" w:hAnsi="Times New Roman" w:cs="Times New Roman"/>
          <w:sz w:val="24"/>
          <w:szCs w:val="24"/>
          <w:bdr w:val="nil"/>
          <w:lang w:val="en-GB" w:eastAsia="en-GB"/>
          <w14:textOutline w14:w="0" w14:cap="flat" w14:cmpd="sng" w14:algn="ctr">
            <w14:noFill/>
            <w14:prstDash w14:val="solid"/>
            <w14:bevel/>
          </w14:textOutline>
        </w:rPr>
        <w:t>Transport policy</w:t>
      </w:r>
      <w:r>
        <w:rPr>
          <w:rFonts w:ascii="Times New Roman" w:eastAsia="Arial Unicode MS" w:hAnsi="Times New Roman" w:cs="Times New Roman"/>
          <w:sz w:val="24"/>
          <w:szCs w:val="24"/>
          <w:bdr w:val="nil"/>
          <w:lang w:val="en-GB" w:eastAsia="en-GB"/>
          <w14:textOutline w14:w="0" w14:cap="flat" w14:cmpd="sng" w14:algn="ctr">
            <w14:noFill/>
            <w14:prstDash w14:val="solid"/>
            <w14:bevel/>
          </w14:textOutline>
        </w:rPr>
        <w:t xml:space="preserve"> </w:t>
      </w:r>
      <w:r w:rsidRPr="000F328E">
        <w:rPr>
          <w:rFonts w:ascii="Times New Roman" w:eastAsia="Arial Unicode MS" w:hAnsi="Times New Roman" w:cs="Times New Roman"/>
          <w:sz w:val="24"/>
          <w:szCs w:val="24"/>
          <w:bdr w:val="nil"/>
          <w:lang w:val="en-GB" w:eastAsia="en-GB"/>
          <w14:textOutline w14:w="0" w14:cap="flat" w14:cmpd="sng" w14:algn="ctr">
            <w14:noFill/>
            <w14:prstDash w14:val="solid"/>
            <w14:bevel/>
          </w14:textOutline>
        </w:rPr>
        <w:t>(combined with Trans-European networks</w:t>
      </w:r>
      <w:r w:rsidR="00582E9A">
        <w:rPr>
          <w:rFonts w:ascii="Times New Roman" w:eastAsia="Arial Unicode MS" w:hAnsi="Times New Roman" w:cs="Times New Roman"/>
          <w:sz w:val="24"/>
          <w:szCs w:val="24"/>
          <w:bdr w:val="nil"/>
          <w:lang w:val="en-GB" w:eastAsia="en-GB"/>
          <w14:textOutline w14:w="0" w14:cap="flat" w14:cmpd="sng" w14:algn="ctr">
            <w14:noFill/>
            <w14:prstDash w14:val="solid"/>
            <w14:bevel/>
          </w14:textOutline>
        </w:rPr>
        <w:t>/</w:t>
      </w:r>
      <w:r w:rsidR="00582E9A" w:rsidRPr="00582E9A">
        <w:rPr>
          <w:rFonts w:ascii="Times New Roman" w:eastAsia="Arial Unicode MS" w:hAnsi="Times New Roman" w:cs="Times New Roman"/>
          <w:sz w:val="24"/>
          <w:szCs w:val="24"/>
          <w:bdr w:val="nil"/>
          <w:lang w:val="en-GB" w:eastAsia="en-GB"/>
          <w14:textOutline w14:w="0" w14:cap="flat" w14:cmpd="sng" w14:algn="ctr">
            <w14:noFill/>
            <w14:prstDash w14:val="solid"/>
            <w14:bevel/>
          </w14:textOutline>
        </w:rPr>
        <w:t>Regional policy and coordination of structural instruments</w:t>
      </w:r>
      <w:r w:rsidRPr="000F328E">
        <w:rPr>
          <w:rFonts w:ascii="Times New Roman" w:eastAsia="Arial Unicode MS" w:hAnsi="Times New Roman" w:cs="Times New Roman"/>
          <w:sz w:val="24"/>
          <w:szCs w:val="24"/>
          <w:bdr w:val="nil"/>
          <w:lang w:val="en-GB" w:eastAsia="en-GB"/>
          <w14:textOutline w14:w="0" w14:cap="flat" w14:cmpd="sng" w14:algn="ctr">
            <w14:noFill/>
            <w14:prstDash w14:val="solid"/>
            <w14:bevel/>
          </w14:textOutline>
        </w:rPr>
        <w:t xml:space="preserve"> and/or any extra/alternative)</w:t>
      </w:r>
      <w:r w:rsidRPr="004046E6">
        <w:rPr>
          <w:rFonts w:ascii="Times New Roman" w:eastAsia="Arial Unicode MS" w:hAnsi="Times New Roman" w:cs="Times New Roman"/>
          <w:sz w:val="24"/>
          <w:szCs w:val="24"/>
          <w:bdr w:val="nil"/>
          <w:lang w:val="en-GB" w:eastAsia="en-GB"/>
          <w14:textOutline w14:w="0" w14:cap="flat" w14:cmpd="sng" w14:algn="ctr">
            <w14:noFill/>
            <w14:prstDash w14:val="solid"/>
            <w14:bevel/>
          </w14:textOutline>
        </w:rPr>
        <w:t>;</w:t>
      </w:r>
    </w:p>
    <w:p w14:paraId="73CBC9A5" w14:textId="77777777" w:rsidR="000F328E" w:rsidRPr="004046E6" w:rsidRDefault="000F328E" w:rsidP="000F328E">
      <w:pPr>
        <w:shd w:val="clear" w:color="auto" w:fill="FFFFFF"/>
        <w:spacing w:after="0" w:line="240" w:lineRule="auto"/>
        <w:jc w:val="both"/>
        <w:rPr>
          <w:rFonts w:ascii="Times New Roman" w:eastAsia="Arial Unicode MS" w:hAnsi="Times New Roman" w:cs="Times New Roman"/>
          <w:sz w:val="24"/>
          <w:szCs w:val="24"/>
          <w:bdr w:val="nil"/>
          <w:lang w:val="en-GB" w:eastAsia="en-GB"/>
          <w14:textOutline w14:w="0" w14:cap="flat" w14:cmpd="sng" w14:algn="ctr">
            <w14:noFill/>
            <w14:prstDash w14:val="solid"/>
            <w14:bevel/>
          </w14:textOutline>
        </w:rPr>
      </w:pPr>
    </w:p>
    <w:p w14:paraId="6C03A944" w14:textId="77777777" w:rsidR="000F328E" w:rsidRPr="004046E6" w:rsidRDefault="000F328E" w:rsidP="000F328E">
      <w:pPr>
        <w:widowControl w:val="0"/>
        <w:numPr>
          <w:ilvl w:val="0"/>
          <w:numId w:val="10"/>
        </w:numPr>
        <w:shd w:val="clear" w:color="auto" w:fill="FFFFFF"/>
        <w:autoSpaceDE w:val="0"/>
        <w:autoSpaceDN w:val="0"/>
        <w:spacing w:after="0" w:line="240" w:lineRule="auto"/>
        <w:ind w:left="360"/>
        <w:jc w:val="both"/>
        <w:rPr>
          <w:rFonts w:ascii="Times New Roman" w:eastAsia="Arial Unicode MS" w:hAnsi="Times New Roman" w:cs="Times New Roman"/>
          <w:sz w:val="24"/>
          <w:szCs w:val="24"/>
          <w:bdr w:val="nil"/>
          <w:lang w:val="en-GB" w:eastAsia="en-GB"/>
          <w14:textOutline w14:w="0" w14:cap="flat" w14:cmpd="sng" w14:algn="ctr">
            <w14:noFill/>
            <w14:prstDash w14:val="solid"/>
            <w14:bevel/>
          </w14:textOutline>
        </w:rPr>
      </w:pPr>
      <w:r>
        <w:rPr>
          <w:rFonts w:ascii="Times New Roman" w:eastAsia="Arial Unicode MS" w:hAnsi="Times New Roman" w:cs="Times New Roman"/>
          <w:sz w:val="24"/>
          <w:szCs w:val="24"/>
          <w:bdr w:val="nil"/>
          <w:lang w:val="en-GB" w:eastAsia="en-GB"/>
          <w14:textOutline w14:w="0" w14:cap="flat" w14:cmpd="sng" w14:algn="ctr">
            <w14:noFill/>
            <w14:prstDash w14:val="solid"/>
            <w14:bevel/>
          </w14:textOutline>
        </w:rPr>
        <w:t>Intellectual Property Law </w:t>
      </w:r>
      <w:r w:rsidRPr="004046E6">
        <w:rPr>
          <w:rFonts w:ascii="Times New Roman" w:eastAsia="Arial Unicode MS" w:hAnsi="Times New Roman" w:cs="Times New Roman"/>
          <w:sz w:val="24"/>
          <w:szCs w:val="24"/>
          <w:bdr w:val="nil"/>
          <w:lang w:val="en-GB" w:eastAsia="en-GB"/>
          <w14:textOutline w14:w="0" w14:cap="flat" w14:cmpd="sng" w14:algn="ctr">
            <w14:noFill/>
            <w14:prstDash w14:val="solid"/>
            <w14:bevel/>
          </w14:textOutline>
        </w:rPr>
        <w:t>(combined with Information Society and Media and/or any extra/alternative).</w:t>
      </w:r>
    </w:p>
    <w:p w14:paraId="63817CE1" w14:textId="77777777" w:rsidR="000F328E" w:rsidRPr="004046E6" w:rsidRDefault="000F328E" w:rsidP="000F328E">
      <w:pPr>
        <w:widowControl w:val="0"/>
        <w:tabs>
          <w:tab w:val="left" w:pos="10065"/>
        </w:tabs>
        <w:autoSpaceDE w:val="0"/>
        <w:autoSpaceDN w:val="0"/>
        <w:spacing w:after="0" w:line="240" w:lineRule="auto"/>
        <w:ind w:right="289"/>
        <w:jc w:val="both"/>
        <w:rPr>
          <w:rFonts w:ascii="Times New Roman" w:eastAsia="Arial" w:hAnsi="Times New Roman" w:cs="Times New Roman"/>
          <w:sz w:val="24"/>
          <w:szCs w:val="24"/>
          <w:lang w:val="en-US" w:eastAsia="ru-RU" w:bidi="ru-RU"/>
        </w:rPr>
      </w:pPr>
    </w:p>
    <w:p w14:paraId="79A0A238" w14:textId="77777777" w:rsidR="000F328E" w:rsidRPr="004046E6" w:rsidRDefault="000F328E" w:rsidP="000F328E">
      <w:pPr>
        <w:pBdr>
          <w:top w:val="nil"/>
          <w:left w:val="nil"/>
          <w:bottom w:val="nil"/>
          <w:right w:val="nil"/>
          <w:between w:val="nil"/>
          <w:bar w:val="nil"/>
        </w:pBdr>
        <w:spacing w:before="120" w:after="0" w:line="240" w:lineRule="auto"/>
        <w:jc w:val="both"/>
        <w:rPr>
          <w:rFonts w:ascii="Times New Roman" w:eastAsia="Arial Unicode MS" w:hAnsi="Times New Roman" w:cs="Times New Roman"/>
          <w:b/>
          <w:sz w:val="24"/>
          <w:szCs w:val="24"/>
          <w:bdr w:val="nil"/>
          <w:lang w:val="en-US" w:eastAsia="en-GB"/>
          <w14:textOutline w14:w="0" w14:cap="flat" w14:cmpd="sng" w14:algn="ctr">
            <w14:noFill/>
            <w14:prstDash w14:val="solid"/>
            <w14:bevel/>
          </w14:textOutline>
        </w:rPr>
      </w:pPr>
      <w:r w:rsidRPr="004046E6">
        <w:rPr>
          <w:rFonts w:ascii="Times New Roman" w:eastAsia="Arial Unicode MS" w:hAnsi="Times New Roman" w:cs="Times New Roman"/>
          <w:b/>
          <w:sz w:val="24"/>
          <w:szCs w:val="24"/>
          <w:bdr w:val="nil"/>
          <w:lang w:val="en-US" w:eastAsia="en-GB"/>
          <w14:textOutline w14:w="0" w14:cap="flat" w14:cmpd="sng" w14:algn="ctr">
            <w14:noFill/>
            <w14:prstDash w14:val="solid"/>
            <w14:bevel/>
          </w14:textOutline>
        </w:rPr>
        <w:t>2.3 Priority tasks for the technical assistance will be:</w:t>
      </w:r>
    </w:p>
    <w:p w14:paraId="227C406C" w14:textId="77777777" w:rsidR="000F328E" w:rsidRPr="004046E6" w:rsidRDefault="000F328E" w:rsidP="000F328E">
      <w:pPr>
        <w:widowControl w:val="0"/>
        <w:pBdr>
          <w:top w:val="nil"/>
          <w:left w:val="nil"/>
          <w:bottom w:val="nil"/>
          <w:right w:val="nil"/>
          <w:between w:val="nil"/>
          <w:bar w:val="nil"/>
        </w:pBdr>
        <w:autoSpaceDE w:val="0"/>
        <w:autoSpaceDN w:val="0"/>
        <w:spacing w:after="0" w:line="240" w:lineRule="auto"/>
        <w:ind w:left="714"/>
        <w:jc w:val="both"/>
        <w:rPr>
          <w:rFonts w:ascii="Times New Roman" w:eastAsia="Arial Unicode MS" w:hAnsi="Times New Roman" w:cs="Times New Roman"/>
          <w:sz w:val="24"/>
          <w:szCs w:val="24"/>
          <w:bdr w:val="nil"/>
          <w:lang w:val="en-US" w:eastAsia="en-GB"/>
          <w14:textOutline w14:w="0" w14:cap="flat" w14:cmpd="sng" w14:algn="ctr">
            <w14:noFill/>
            <w14:prstDash w14:val="solid"/>
            <w14:bevel/>
          </w14:textOutline>
        </w:rPr>
      </w:pPr>
    </w:p>
    <w:p w14:paraId="13C02F4D" w14:textId="77777777" w:rsidR="000F328E" w:rsidRPr="004046E6" w:rsidRDefault="000F328E" w:rsidP="000F328E">
      <w:pPr>
        <w:widowControl w:val="0"/>
        <w:numPr>
          <w:ilvl w:val="0"/>
          <w:numId w:val="9"/>
        </w:numPr>
        <w:pBdr>
          <w:top w:val="nil"/>
          <w:left w:val="nil"/>
          <w:bottom w:val="nil"/>
          <w:right w:val="nil"/>
          <w:between w:val="nil"/>
          <w:bar w:val="nil"/>
        </w:pBdr>
        <w:autoSpaceDE w:val="0"/>
        <w:autoSpaceDN w:val="0"/>
        <w:spacing w:after="0" w:line="240" w:lineRule="auto"/>
        <w:ind w:left="714" w:hanging="357"/>
        <w:jc w:val="both"/>
        <w:rPr>
          <w:rFonts w:ascii="Times New Roman" w:eastAsia="Arial Unicode MS" w:hAnsi="Times New Roman" w:cs="Times New Roman"/>
          <w:sz w:val="24"/>
          <w:szCs w:val="24"/>
          <w:bdr w:val="nil"/>
          <w:lang w:val="en-US" w:eastAsia="en-GB"/>
          <w14:textOutline w14:w="0" w14:cap="flat" w14:cmpd="sng" w14:algn="ctr">
            <w14:noFill/>
            <w14:prstDash w14:val="solid"/>
            <w14:bevel/>
          </w14:textOutline>
        </w:rPr>
      </w:pPr>
      <w:r w:rsidRPr="004046E6">
        <w:rPr>
          <w:rFonts w:ascii="Times New Roman" w:eastAsia="Arial Unicode MS" w:hAnsi="Times New Roman" w:cs="Times New Roman"/>
          <w:sz w:val="24"/>
          <w:szCs w:val="24"/>
          <w:bdr w:val="nil"/>
          <w:lang w:val="en-US" w:eastAsia="en-GB"/>
          <w14:textOutline w14:w="0" w14:cap="flat" w14:cmpd="sng" w14:algn="ctr">
            <w14:noFill/>
            <w14:prstDash w14:val="solid"/>
            <w14:bevel/>
          </w14:textOutline>
        </w:rPr>
        <w:t>compliance check (comparative legal expertise) of draft laws against relevant EU acquis via preparing analytical conclusions on such compliance and drawing up tables of concordance (where applicable);</w:t>
      </w:r>
    </w:p>
    <w:p w14:paraId="4EE35C10" w14:textId="77777777" w:rsidR="000F328E" w:rsidRPr="004046E6" w:rsidRDefault="000F328E" w:rsidP="000F328E">
      <w:pPr>
        <w:widowControl w:val="0"/>
        <w:numPr>
          <w:ilvl w:val="0"/>
          <w:numId w:val="9"/>
        </w:numPr>
        <w:pBdr>
          <w:top w:val="nil"/>
          <w:left w:val="nil"/>
          <w:bottom w:val="nil"/>
          <w:right w:val="nil"/>
          <w:between w:val="nil"/>
          <w:bar w:val="nil"/>
        </w:pBdr>
        <w:autoSpaceDE w:val="0"/>
        <w:autoSpaceDN w:val="0"/>
        <w:spacing w:after="0" w:line="240" w:lineRule="auto"/>
        <w:ind w:left="714" w:hanging="357"/>
        <w:jc w:val="both"/>
        <w:rPr>
          <w:rFonts w:ascii="Times New Roman" w:eastAsia="Arial Unicode MS" w:hAnsi="Times New Roman" w:cs="Times New Roman"/>
          <w:sz w:val="24"/>
          <w:szCs w:val="24"/>
          <w:bdr w:val="nil"/>
          <w:lang w:val="en-US" w:eastAsia="en-GB"/>
          <w14:textOutline w14:w="0" w14:cap="flat" w14:cmpd="sng" w14:algn="ctr">
            <w14:noFill/>
            <w14:prstDash w14:val="solid"/>
            <w14:bevel/>
          </w14:textOutline>
        </w:rPr>
      </w:pPr>
      <w:r w:rsidRPr="004046E6">
        <w:rPr>
          <w:rFonts w:ascii="Times New Roman" w:eastAsia="Arial Unicode MS" w:hAnsi="Times New Roman" w:cs="Times New Roman"/>
          <w:sz w:val="24"/>
          <w:szCs w:val="24"/>
          <w:bdr w:val="nil"/>
          <w:lang w:val="en-US" w:eastAsia="en-GB"/>
          <w14:textOutline w14:w="0" w14:cap="flat" w14:cmpd="sng" w14:algn="ctr">
            <w14:noFill/>
            <w14:prstDash w14:val="solid"/>
            <w14:bevel/>
          </w14:textOutline>
        </w:rPr>
        <w:t>providing analytical reports/legal opinions on EU Member States’ best practices of implementation of EU horizontal/sectoral legislation and provisions thereof suggesting best possible legal models to follow during the approximation process with EU acquis;</w:t>
      </w:r>
    </w:p>
    <w:p w14:paraId="034FA968" w14:textId="77777777" w:rsidR="000F328E" w:rsidRPr="004046E6" w:rsidRDefault="000F328E" w:rsidP="000F328E">
      <w:pPr>
        <w:widowControl w:val="0"/>
        <w:numPr>
          <w:ilvl w:val="0"/>
          <w:numId w:val="9"/>
        </w:numPr>
        <w:pBdr>
          <w:top w:val="nil"/>
          <w:left w:val="nil"/>
          <w:bottom w:val="nil"/>
          <w:right w:val="nil"/>
          <w:between w:val="nil"/>
          <w:bar w:val="nil"/>
        </w:pBdr>
        <w:autoSpaceDE w:val="0"/>
        <w:autoSpaceDN w:val="0"/>
        <w:spacing w:after="0" w:line="240" w:lineRule="auto"/>
        <w:ind w:left="714" w:hanging="357"/>
        <w:jc w:val="both"/>
        <w:rPr>
          <w:rFonts w:ascii="Times New Roman" w:eastAsia="Arial Unicode MS" w:hAnsi="Times New Roman" w:cs="Times New Roman"/>
          <w:sz w:val="24"/>
          <w:szCs w:val="24"/>
          <w:bdr w:val="nil"/>
          <w:lang w:val="en-US" w:eastAsia="en-GB"/>
          <w14:textOutline w14:w="0" w14:cap="flat" w14:cmpd="sng" w14:algn="ctr">
            <w14:noFill/>
            <w14:prstDash w14:val="solid"/>
            <w14:bevel/>
          </w14:textOutline>
        </w:rPr>
      </w:pPr>
      <w:r w:rsidRPr="004046E6">
        <w:rPr>
          <w:rFonts w:ascii="Times New Roman" w:eastAsia="Arial Unicode MS" w:hAnsi="Times New Roman" w:cs="Times New Roman"/>
          <w:sz w:val="24"/>
          <w:szCs w:val="24"/>
          <w:bdr w:val="nil"/>
          <w:lang w:val="en-US" w:eastAsia="en-GB"/>
          <w14:textOutline w14:w="0" w14:cap="flat" w14:cmpd="sng" w14:algn="ctr">
            <w14:noFill/>
            <w14:prstDash w14:val="solid"/>
            <w14:bevel/>
          </w14:textOutline>
        </w:rPr>
        <w:t>assessing compliance of Ukraine’s legislation with relevant EU acquis in priority areas and preparing corresponding compliance reports, including tables of compliance (where appropriate);</w:t>
      </w:r>
    </w:p>
    <w:p w14:paraId="2222BB39" w14:textId="77777777" w:rsidR="000F328E" w:rsidRPr="004046E6" w:rsidRDefault="000F328E" w:rsidP="000F328E">
      <w:pPr>
        <w:widowControl w:val="0"/>
        <w:numPr>
          <w:ilvl w:val="0"/>
          <w:numId w:val="9"/>
        </w:numPr>
        <w:pBdr>
          <w:top w:val="nil"/>
          <w:left w:val="nil"/>
          <w:bottom w:val="nil"/>
          <w:right w:val="nil"/>
          <w:between w:val="nil"/>
          <w:bar w:val="nil"/>
        </w:pBdr>
        <w:autoSpaceDE w:val="0"/>
        <w:autoSpaceDN w:val="0"/>
        <w:spacing w:after="0" w:line="240" w:lineRule="auto"/>
        <w:ind w:left="714" w:hanging="357"/>
        <w:jc w:val="both"/>
        <w:rPr>
          <w:rFonts w:ascii="Times New Roman" w:eastAsia="Arial Unicode MS" w:hAnsi="Times New Roman" w:cs="Times New Roman"/>
          <w:sz w:val="24"/>
          <w:szCs w:val="24"/>
          <w:bdr w:val="nil"/>
          <w:lang w:val="en-US" w:eastAsia="en-GB"/>
          <w14:textOutline w14:w="0" w14:cap="flat" w14:cmpd="sng" w14:algn="ctr">
            <w14:noFill/>
            <w14:prstDash w14:val="solid"/>
            <w14:bevel/>
          </w14:textOutline>
        </w:rPr>
      </w:pPr>
      <w:r w:rsidRPr="004046E6">
        <w:rPr>
          <w:rFonts w:ascii="Times New Roman" w:eastAsia="Arial Unicode MS" w:hAnsi="Times New Roman" w:cs="Times New Roman"/>
          <w:sz w:val="24"/>
          <w:szCs w:val="24"/>
          <w:bdr w:val="nil"/>
          <w:lang w:val="en-US" w:eastAsia="en-GB"/>
          <w14:textOutline w14:w="0" w14:cap="flat" w14:cmpd="sng" w14:algn="ctr">
            <w14:noFill/>
            <w14:prstDash w14:val="solid"/>
            <w14:bevel/>
          </w14:textOutline>
        </w:rPr>
        <w:t>improving draft laws to ensure their conformance with EU acquis by preparing proposals to draft legislation during the compliance check (comparative legal expertise);</w:t>
      </w:r>
    </w:p>
    <w:p w14:paraId="29753547" w14:textId="77777777" w:rsidR="000F328E" w:rsidRPr="004046E6" w:rsidRDefault="000F328E" w:rsidP="000F328E">
      <w:pPr>
        <w:widowControl w:val="0"/>
        <w:numPr>
          <w:ilvl w:val="0"/>
          <w:numId w:val="9"/>
        </w:numPr>
        <w:pBdr>
          <w:top w:val="nil"/>
          <w:left w:val="nil"/>
          <w:bottom w:val="nil"/>
          <w:right w:val="nil"/>
          <w:between w:val="nil"/>
          <w:bar w:val="nil"/>
        </w:pBdr>
        <w:autoSpaceDE w:val="0"/>
        <w:autoSpaceDN w:val="0"/>
        <w:spacing w:after="0" w:line="240" w:lineRule="auto"/>
        <w:ind w:left="714" w:hanging="357"/>
        <w:jc w:val="both"/>
        <w:rPr>
          <w:rFonts w:ascii="Times New Roman" w:eastAsia="Arial Unicode MS" w:hAnsi="Times New Roman" w:cs="Times New Roman"/>
          <w:sz w:val="24"/>
          <w:szCs w:val="24"/>
          <w:bdr w:val="nil"/>
          <w:lang w:val="en-US" w:eastAsia="en-GB"/>
          <w14:textOutline w14:w="0" w14:cap="flat" w14:cmpd="sng" w14:algn="ctr">
            <w14:noFill/>
            <w14:prstDash w14:val="solid"/>
            <w14:bevel/>
          </w14:textOutline>
        </w:rPr>
      </w:pPr>
      <w:r w:rsidRPr="004046E6">
        <w:rPr>
          <w:rFonts w:ascii="Times New Roman" w:eastAsia="Arial Unicode MS" w:hAnsi="Times New Roman" w:cs="Times New Roman"/>
          <w:sz w:val="24"/>
          <w:szCs w:val="24"/>
          <w:bdr w:val="nil"/>
          <w:lang w:val="en-US" w:eastAsia="en-GB"/>
          <w14:textOutline w14:w="0" w14:cap="flat" w14:cmpd="sng" w14:algn="ctr">
            <w14:noFill/>
            <w14:prstDash w14:val="solid"/>
            <w14:bevel/>
          </w14:textOutline>
        </w:rPr>
        <w:t xml:space="preserve">ensuring coordination on legal approximation planning and processes at expert level with technical assistance projects supporting legal approximation process and URA support teams at the Secretariat of the Cabinet of Ministers and line ministries, where appropriate. </w:t>
      </w:r>
    </w:p>
    <w:p w14:paraId="1089BEC9" w14:textId="77777777" w:rsidR="000F328E" w:rsidRPr="004046E6" w:rsidRDefault="000F328E" w:rsidP="000F328E">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bdr w:val="nil"/>
          <w:lang w:val="en-US" w:eastAsia="en-GB"/>
          <w14:textOutline w14:w="0" w14:cap="flat" w14:cmpd="sng" w14:algn="ctr">
            <w14:noFill/>
            <w14:prstDash w14:val="solid"/>
            <w14:bevel/>
          </w14:textOutline>
        </w:rPr>
      </w:pPr>
    </w:p>
    <w:p w14:paraId="0F68DE45" w14:textId="77777777" w:rsidR="000F328E" w:rsidRPr="004046E6" w:rsidRDefault="000F328E" w:rsidP="000F328E">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bdr w:val="nil"/>
          <w:lang w:val="en-US" w:eastAsia="en-GB"/>
          <w14:textOutline w14:w="0" w14:cap="flat" w14:cmpd="sng" w14:algn="ctr">
            <w14:noFill/>
            <w14:prstDash w14:val="solid"/>
            <w14:bevel/>
          </w14:textOutline>
        </w:rPr>
      </w:pPr>
      <w:r w:rsidRPr="004046E6">
        <w:rPr>
          <w:rFonts w:ascii="Times New Roman" w:eastAsia="Arial Unicode MS" w:hAnsi="Times New Roman" w:cs="Times New Roman"/>
          <w:sz w:val="24"/>
          <w:szCs w:val="24"/>
          <w:bdr w:val="nil"/>
          <w:lang w:val="en-US" w:eastAsia="en-GB"/>
          <w14:textOutline w14:w="0" w14:cap="flat" w14:cmpd="sng" w14:algn="ctr">
            <w14:noFill/>
            <w14:prstDash w14:val="solid"/>
            <w14:bevel/>
          </w14:textOutline>
        </w:rPr>
        <w:t>Priority tasks may be adjusted by the VRU depending on the current needs and situation according to requests of leadership of VRU and VRU Secretariat in consultation with the EU Delegation to Ukraine and the EBRD.</w:t>
      </w:r>
    </w:p>
    <w:p w14:paraId="4523A7DA" w14:textId="77777777" w:rsidR="000F328E" w:rsidRPr="004046E6" w:rsidRDefault="000F328E" w:rsidP="000F328E">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bdr w:val="nil"/>
          <w:lang w:val="en-US" w:eastAsia="en-GB"/>
          <w14:textOutline w14:w="0" w14:cap="flat" w14:cmpd="sng" w14:algn="ctr">
            <w14:noFill/>
            <w14:prstDash w14:val="solid"/>
            <w14:bevel/>
          </w14:textOutline>
        </w:rPr>
      </w:pPr>
    </w:p>
    <w:p w14:paraId="03EB252C" w14:textId="77777777" w:rsidR="000F328E" w:rsidRPr="004046E6" w:rsidRDefault="000F328E" w:rsidP="000F328E">
      <w:pPr>
        <w:spacing w:after="0" w:line="240" w:lineRule="auto"/>
        <w:jc w:val="both"/>
        <w:rPr>
          <w:rFonts w:ascii="Times New Roman" w:hAnsi="Times New Roman" w:cs="Times New Roman"/>
          <w:b/>
          <w:color w:val="000000" w:themeColor="text1"/>
          <w:sz w:val="24"/>
          <w:szCs w:val="24"/>
          <w:lang w:val="en-GB"/>
        </w:rPr>
      </w:pPr>
      <w:r w:rsidRPr="004046E6">
        <w:rPr>
          <w:rFonts w:ascii="Times New Roman" w:hAnsi="Times New Roman" w:cs="Times New Roman"/>
          <w:b/>
          <w:color w:val="000000" w:themeColor="text1"/>
          <w:sz w:val="24"/>
          <w:szCs w:val="24"/>
          <w:lang w:val="en-GB"/>
        </w:rPr>
        <w:t>2.4 Position and reporting line</w:t>
      </w:r>
    </w:p>
    <w:p w14:paraId="6EFDCDB1" w14:textId="77777777" w:rsidR="000F328E" w:rsidRPr="004046E6" w:rsidRDefault="000F328E" w:rsidP="000F328E">
      <w:pPr>
        <w:pBdr>
          <w:top w:val="nil"/>
          <w:left w:val="nil"/>
          <w:bottom w:val="nil"/>
          <w:right w:val="nil"/>
          <w:between w:val="nil"/>
        </w:pBdr>
        <w:spacing w:after="120" w:line="240" w:lineRule="auto"/>
        <w:jc w:val="both"/>
        <w:rPr>
          <w:rFonts w:ascii="Times New Roman" w:eastAsia="Times New Roman" w:hAnsi="Times New Roman" w:cs="Times New Roman"/>
          <w:sz w:val="24"/>
          <w:szCs w:val="24"/>
          <w:lang w:val="en-US" w:eastAsia="ru-RU" w:bidi="ru-RU"/>
        </w:rPr>
      </w:pPr>
      <w:r w:rsidRPr="004046E6">
        <w:rPr>
          <w:rFonts w:ascii="Times New Roman" w:eastAsia="Times New Roman" w:hAnsi="Times New Roman" w:cs="Times New Roman"/>
          <w:sz w:val="24"/>
          <w:szCs w:val="24"/>
          <w:lang w:val="en-US" w:eastAsia="ru-RU" w:bidi="ru-RU"/>
        </w:rPr>
        <w:t xml:space="preserve">The Senior Legal Expert on </w:t>
      </w:r>
      <w:r>
        <w:rPr>
          <w:rFonts w:ascii="Times New Roman" w:eastAsia="Times New Roman" w:hAnsi="Times New Roman" w:cs="Times New Roman"/>
          <w:sz w:val="24"/>
          <w:szCs w:val="24"/>
          <w:lang w:val="en-US" w:eastAsia="ru-RU" w:bidi="ru-RU"/>
        </w:rPr>
        <w:t xml:space="preserve">Social Policy and Employment </w:t>
      </w:r>
      <w:r w:rsidRPr="007C54E3">
        <w:rPr>
          <w:rFonts w:ascii="Times New Roman" w:eastAsia="Times New Roman" w:hAnsi="Times New Roman" w:cs="Times New Roman"/>
          <w:sz w:val="24"/>
          <w:szCs w:val="24"/>
          <w:lang w:eastAsia="ru-RU" w:bidi="ru-RU"/>
        </w:rPr>
        <w:t>(combined with Freedom of Movement for Workers)</w:t>
      </w:r>
      <w:r w:rsidRPr="004046E6">
        <w:rPr>
          <w:rFonts w:ascii="Times New Roman" w:eastAsia="Times New Roman" w:hAnsi="Times New Roman" w:cs="Times New Roman"/>
          <w:sz w:val="24"/>
          <w:szCs w:val="24"/>
          <w:lang w:val="en-US" w:eastAsia="ru-RU" w:bidi="ru-RU"/>
        </w:rPr>
        <w:t xml:space="preserve"> will be directly subordinated to the RST Team Lead.</w:t>
      </w:r>
    </w:p>
    <w:p w14:paraId="19C8EECC" w14:textId="77777777" w:rsidR="000F328E" w:rsidRPr="004046E6" w:rsidRDefault="000F328E" w:rsidP="000F328E">
      <w:pPr>
        <w:spacing w:after="0" w:line="240" w:lineRule="auto"/>
        <w:jc w:val="both"/>
        <w:rPr>
          <w:rFonts w:ascii="Times New Roman" w:hAnsi="Times New Roman" w:cs="Times New Roman"/>
          <w:color w:val="000000" w:themeColor="text1"/>
          <w:sz w:val="24"/>
          <w:szCs w:val="24"/>
          <w:lang w:val="en-GB"/>
        </w:rPr>
      </w:pPr>
    </w:p>
    <w:p w14:paraId="4C7DC660" w14:textId="77777777" w:rsidR="000F328E" w:rsidRPr="004046E6" w:rsidRDefault="000F328E" w:rsidP="000F328E">
      <w:pPr>
        <w:spacing w:after="0" w:line="240" w:lineRule="auto"/>
        <w:jc w:val="both"/>
        <w:rPr>
          <w:rFonts w:ascii="Times New Roman" w:hAnsi="Times New Roman" w:cs="Times New Roman"/>
          <w:b/>
          <w:color w:val="000000" w:themeColor="text1"/>
          <w:sz w:val="24"/>
          <w:szCs w:val="24"/>
          <w:lang w:val="en-GB"/>
        </w:rPr>
      </w:pPr>
      <w:r w:rsidRPr="004046E6">
        <w:rPr>
          <w:rFonts w:ascii="Times New Roman" w:hAnsi="Times New Roman" w:cs="Times New Roman"/>
          <w:b/>
          <w:color w:val="000000" w:themeColor="text1"/>
          <w:sz w:val="24"/>
          <w:szCs w:val="24"/>
          <w:lang w:val="en-GB"/>
        </w:rPr>
        <w:t>2.5 Duration and proposed timeframe</w:t>
      </w:r>
    </w:p>
    <w:p w14:paraId="1030288B" w14:textId="77777777" w:rsidR="000F328E" w:rsidRPr="004046E6" w:rsidRDefault="000F328E" w:rsidP="000F328E">
      <w:pPr>
        <w:spacing w:after="0" w:line="240" w:lineRule="auto"/>
        <w:jc w:val="both"/>
        <w:rPr>
          <w:rFonts w:ascii="Times New Roman" w:hAnsi="Times New Roman" w:cs="Times New Roman"/>
          <w:i/>
          <w:color w:val="000000" w:themeColor="text1"/>
          <w:sz w:val="24"/>
          <w:szCs w:val="24"/>
          <w:lang w:val="en-GB"/>
        </w:rPr>
      </w:pPr>
    </w:p>
    <w:p w14:paraId="229023E8" w14:textId="279308A0" w:rsidR="000F328E" w:rsidRPr="004046E6" w:rsidRDefault="000F328E" w:rsidP="000F328E">
      <w:pPr>
        <w:spacing w:after="0" w:line="240" w:lineRule="auto"/>
        <w:jc w:val="both"/>
        <w:rPr>
          <w:rFonts w:ascii="Times New Roman" w:hAnsi="Times New Roman" w:cs="Times New Roman"/>
          <w:color w:val="000000" w:themeColor="text1"/>
          <w:sz w:val="24"/>
          <w:szCs w:val="24"/>
          <w:lang w:val="en-GB"/>
        </w:rPr>
      </w:pPr>
      <w:r w:rsidRPr="004046E6">
        <w:rPr>
          <w:rFonts w:ascii="Times New Roman" w:hAnsi="Times New Roman" w:cs="Times New Roman"/>
          <w:color w:val="000000" w:themeColor="text1"/>
          <w:sz w:val="24"/>
          <w:szCs w:val="24"/>
          <w:lang w:val="en-GB"/>
        </w:rPr>
        <w:t xml:space="preserve">This consultancy appointment is expected to start in </w:t>
      </w:r>
      <w:r w:rsidR="00582E9A">
        <w:rPr>
          <w:rFonts w:ascii="Times New Roman" w:hAnsi="Times New Roman" w:cs="Times New Roman"/>
          <w:color w:val="000000" w:themeColor="text1"/>
          <w:sz w:val="24"/>
          <w:szCs w:val="24"/>
          <w:lang w:val="en-GB"/>
        </w:rPr>
        <w:t xml:space="preserve">February </w:t>
      </w:r>
      <w:r w:rsidRPr="004046E6">
        <w:rPr>
          <w:rFonts w:ascii="Times New Roman" w:hAnsi="Times New Roman" w:cs="Times New Roman"/>
          <w:color w:val="000000" w:themeColor="text1"/>
          <w:sz w:val="24"/>
          <w:szCs w:val="24"/>
          <w:lang w:val="en-GB"/>
        </w:rPr>
        <w:t>202</w:t>
      </w:r>
      <w:r w:rsidR="00582E9A">
        <w:rPr>
          <w:rFonts w:ascii="Times New Roman" w:hAnsi="Times New Roman" w:cs="Times New Roman"/>
          <w:color w:val="000000" w:themeColor="text1"/>
          <w:sz w:val="24"/>
          <w:szCs w:val="24"/>
          <w:lang w:val="en-GB"/>
        </w:rPr>
        <w:t>4</w:t>
      </w:r>
      <w:r w:rsidRPr="004046E6">
        <w:rPr>
          <w:rFonts w:ascii="Times New Roman" w:hAnsi="Times New Roman" w:cs="Times New Roman"/>
          <w:color w:val="000000" w:themeColor="text1"/>
          <w:sz w:val="24"/>
          <w:szCs w:val="24"/>
          <w:lang w:val="en-GB"/>
        </w:rPr>
        <w:t xml:space="preserve"> and has an estimated overall duration of </w:t>
      </w:r>
      <w:r w:rsidR="00A769D2">
        <w:rPr>
          <w:rFonts w:ascii="Times New Roman" w:hAnsi="Times New Roman" w:cs="Times New Roman"/>
          <w:color w:val="000000" w:themeColor="text1"/>
          <w:sz w:val="24"/>
          <w:szCs w:val="24"/>
          <w:lang w:val="en-GB"/>
        </w:rPr>
        <w:t>4</w:t>
      </w:r>
      <w:r w:rsidRPr="004046E6">
        <w:rPr>
          <w:rFonts w:ascii="Times New Roman" w:hAnsi="Times New Roman" w:cs="Times New Roman"/>
          <w:color w:val="000000" w:themeColor="text1"/>
          <w:sz w:val="24"/>
          <w:szCs w:val="24"/>
          <w:lang w:val="en-GB"/>
        </w:rPr>
        <w:t xml:space="preserve"> month</w:t>
      </w:r>
      <w:r>
        <w:rPr>
          <w:rFonts w:ascii="Times New Roman" w:hAnsi="Times New Roman" w:cs="Times New Roman"/>
          <w:color w:val="000000" w:themeColor="text1"/>
          <w:sz w:val="24"/>
          <w:szCs w:val="24"/>
          <w:lang w:val="en-GB"/>
        </w:rPr>
        <w:t>s</w:t>
      </w:r>
      <w:r w:rsidRPr="004046E6">
        <w:rPr>
          <w:rFonts w:ascii="Times New Roman" w:hAnsi="Times New Roman" w:cs="Times New Roman"/>
          <w:color w:val="000000" w:themeColor="text1"/>
          <w:sz w:val="24"/>
          <w:szCs w:val="24"/>
          <w:lang w:val="en-GB"/>
        </w:rPr>
        <w:t>. Subject to the availability of funding, the performance of the selected consultant and the specific needs of the RST, this appointment may be extended.</w:t>
      </w:r>
    </w:p>
    <w:p w14:paraId="0EBE32BB" w14:textId="77777777" w:rsidR="000F328E" w:rsidRPr="004046E6" w:rsidRDefault="000F328E" w:rsidP="000F328E">
      <w:pPr>
        <w:spacing w:after="0" w:line="240" w:lineRule="auto"/>
        <w:jc w:val="both"/>
        <w:rPr>
          <w:rFonts w:ascii="Times New Roman" w:hAnsi="Times New Roman" w:cs="Times New Roman"/>
          <w:color w:val="000000" w:themeColor="text1"/>
          <w:sz w:val="24"/>
          <w:szCs w:val="24"/>
          <w:lang w:val="en-GB"/>
        </w:rPr>
      </w:pPr>
    </w:p>
    <w:p w14:paraId="31ACF34C" w14:textId="77777777" w:rsidR="000F328E" w:rsidRPr="004046E6" w:rsidRDefault="000F328E" w:rsidP="000F328E">
      <w:pPr>
        <w:pStyle w:val="a3"/>
        <w:numPr>
          <w:ilvl w:val="0"/>
          <w:numId w:val="11"/>
        </w:numPr>
        <w:spacing w:after="0" w:line="240" w:lineRule="auto"/>
        <w:ind w:left="0" w:firstLine="31"/>
        <w:jc w:val="both"/>
        <w:rPr>
          <w:rFonts w:ascii="Times New Roman" w:hAnsi="Times New Roman" w:cs="Times New Roman"/>
          <w:b/>
          <w:color w:val="000000" w:themeColor="text1"/>
          <w:sz w:val="24"/>
          <w:szCs w:val="24"/>
          <w:lang w:val="en-GB"/>
        </w:rPr>
      </w:pPr>
      <w:r w:rsidRPr="004046E6">
        <w:rPr>
          <w:rFonts w:ascii="Times New Roman" w:hAnsi="Times New Roman" w:cs="Times New Roman"/>
          <w:b/>
          <w:color w:val="000000" w:themeColor="text1"/>
          <w:sz w:val="24"/>
          <w:szCs w:val="24"/>
          <w:lang w:val="en-GB"/>
        </w:rPr>
        <w:t>Main d</w:t>
      </w:r>
      <w:r>
        <w:rPr>
          <w:rFonts w:ascii="Times New Roman" w:hAnsi="Times New Roman" w:cs="Times New Roman"/>
          <w:b/>
          <w:color w:val="000000" w:themeColor="text1"/>
          <w:sz w:val="24"/>
          <w:szCs w:val="24"/>
          <w:lang w:val="en-GB"/>
        </w:rPr>
        <w:t>uties and</w:t>
      </w:r>
      <w:r w:rsidRPr="004046E6">
        <w:rPr>
          <w:rFonts w:ascii="Times New Roman" w:hAnsi="Times New Roman" w:cs="Times New Roman"/>
          <w:b/>
          <w:color w:val="000000" w:themeColor="text1"/>
          <w:sz w:val="24"/>
          <w:szCs w:val="24"/>
          <w:lang w:val="en-GB"/>
        </w:rPr>
        <w:t xml:space="preserve"> responsibilities </w:t>
      </w:r>
      <w:r w:rsidRPr="004046E6">
        <w:rPr>
          <w:rFonts w:ascii="Times New Roman" w:hAnsi="Times New Roman" w:cs="Times New Roman"/>
          <w:b/>
          <w:bCs/>
          <w:color w:val="000000" w:themeColor="text1"/>
          <w:sz w:val="24"/>
          <w:szCs w:val="24"/>
          <w:lang w:val="en-GB"/>
        </w:rPr>
        <w:t>of the Senior Legal Expert</w:t>
      </w:r>
    </w:p>
    <w:p w14:paraId="52FE6966" w14:textId="77777777" w:rsidR="000F328E" w:rsidRPr="004046E6" w:rsidRDefault="000F328E" w:rsidP="000F328E">
      <w:pPr>
        <w:pStyle w:val="a3"/>
        <w:spacing w:after="0" w:line="240" w:lineRule="auto"/>
        <w:ind w:left="360"/>
        <w:contextualSpacing w:val="0"/>
        <w:jc w:val="both"/>
        <w:rPr>
          <w:rFonts w:ascii="Times New Roman" w:hAnsi="Times New Roman" w:cs="Times New Roman"/>
          <w:b/>
          <w:bCs/>
          <w:color w:val="000000" w:themeColor="text1"/>
          <w:sz w:val="24"/>
          <w:szCs w:val="24"/>
          <w:lang w:val="en-GB"/>
        </w:rPr>
      </w:pPr>
    </w:p>
    <w:p w14:paraId="051E5024" w14:textId="77777777" w:rsidR="000F328E" w:rsidRPr="004046E6" w:rsidRDefault="000F328E" w:rsidP="000F328E">
      <w:pPr>
        <w:widowControl w:val="0"/>
        <w:numPr>
          <w:ilvl w:val="0"/>
          <w:numId w:val="2"/>
        </w:numPr>
        <w:pBdr>
          <w:top w:val="nil"/>
          <w:left w:val="nil"/>
          <w:bottom w:val="nil"/>
          <w:right w:val="nil"/>
          <w:between w:val="nil"/>
        </w:pBdr>
        <w:tabs>
          <w:tab w:val="left" w:pos="461"/>
          <w:tab w:val="left" w:pos="10065"/>
        </w:tabs>
        <w:autoSpaceDE w:val="0"/>
        <w:autoSpaceDN w:val="0"/>
        <w:spacing w:after="0" w:line="240" w:lineRule="auto"/>
        <w:ind w:right="289"/>
        <w:jc w:val="both"/>
        <w:outlineLvl w:val="0"/>
        <w:rPr>
          <w:rFonts w:ascii="Times New Roman" w:eastAsia="Arial" w:hAnsi="Times New Roman" w:cs="Times New Roman"/>
          <w:sz w:val="24"/>
          <w:szCs w:val="24"/>
          <w:lang w:val="en-GB" w:bidi="ru-RU"/>
        </w:rPr>
      </w:pPr>
      <w:r w:rsidRPr="004046E6">
        <w:rPr>
          <w:rFonts w:ascii="Times New Roman" w:eastAsia="Arial" w:hAnsi="Times New Roman" w:cs="Times New Roman"/>
          <w:sz w:val="24"/>
          <w:szCs w:val="24"/>
          <w:lang w:val="en-GB" w:bidi="ru-RU"/>
        </w:rPr>
        <w:t xml:space="preserve">Ensure timely delivery of activities within the agreed timeframe and available resources as </w:t>
      </w:r>
      <w:r w:rsidRPr="004046E6">
        <w:rPr>
          <w:rFonts w:ascii="Times New Roman" w:eastAsia="Arial" w:hAnsi="Times New Roman" w:cs="Times New Roman"/>
          <w:sz w:val="24"/>
          <w:szCs w:val="24"/>
          <w:lang w:val="en-GB" w:bidi="ru-RU"/>
        </w:rPr>
        <w:lastRenderedPageBreak/>
        <w:t xml:space="preserve">requested by the Team Lead, the </w:t>
      </w:r>
      <w:r w:rsidRPr="004046E6">
        <w:rPr>
          <w:rFonts w:ascii="Times New Roman" w:eastAsia="Arial" w:hAnsi="Times New Roman" w:cs="Times New Roman"/>
          <w:bCs/>
          <w:sz w:val="24"/>
          <w:szCs w:val="24"/>
          <w:lang w:val="en-GB" w:bidi="ru-RU"/>
        </w:rPr>
        <w:t xml:space="preserve">leadership </w:t>
      </w:r>
      <w:r w:rsidRPr="004046E6">
        <w:rPr>
          <w:rFonts w:ascii="Times New Roman" w:eastAsia="Times New Roman" w:hAnsi="Times New Roman" w:cs="Times New Roman"/>
          <w:bCs/>
          <w:sz w:val="24"/>
          <w:szCs w:val="24"/>
          <w:lang w:val="en-US" w:eastAsia="ru-RU" w:bidi="ru-RU"/>
        </w:rPr>
        <w:t>of VRU and VRU Secretariat.</w:t>
      </w:r>
    </w:p>
    <w:p w14:paraId="76F51FA2" w14:textId="77777777" w:rsidR="000F328E" w:rsidRPr="004046E6" w:rsidRDefault="000F328E" w:rsidP="000F328E">
      <w:pPr>
        <w:widowControl w:val="0"/>
        <w:numPr>
          <w:ilvl w:val="0"/>
          <w:numId w:val="2"/>
        </w:numPr>
        <w:pBdr>
          <w:top w:val="nil"/>
          <w:left w:val="nil"/>
          <w:bottom w:val="nil"/>
          <w:right w:val="nil"/>
          <w:between w:val="nil"/>
        </w:pBdr>
        <w:tabs>
          <w:tab w:val="left" w:pos="461"/>
          <w:tab w:val="left" w:pos="10065"/>
        </w:tabs>
        <w:autoSpaceDE w:val="0"/>
        <w:autoSpaceDN w:val="0"/>
        <w:spacing w:after="0" w:line="240" w:lineRule="auto"/>
        <w:ind w:right="289"/>
        <w:jc w:val="both"/>
        <w:outlineLvl w:val="0"/>
        <w:rPr>
          <w:rFonts w:ascii="Times New Roman" w:eastAsia="Arial" w:hAnsi="Times New Roman" w:cs="Times New Roman"/>
          <w:sz w:val="24"/>
          <w:szCs w:val="24"/>
          <w:lang w:val="en-GB" w:bidi="ru-RU"/>
        </w:rPr>
      </w:pPr>
      <w:r w:rsidRPr="004046E6">
        <w:rPr>
          <w:rFonts w:ascii="Times New Roman" w:eastAsia="Arial" w:hAnsi="Times New Roman" w:cs="Times New Roman"/>
          <w:sz w:val="24"/>
          <w:szCs w:val="24"/>
          <w:lang w:val="en-GB" w:bidi="ru-RU"/>
        </w:rPr>
        <w:t>Ensure appropriate quality of deliverables, including reports, analyses and others.</w:t>
      </w:r>
    </w:p>
    <w:p w14:paraId="34CB90A6" w14:textId="77777777" w:rsidR="000F328E" w:rsidRPr="004046E6" w:rsidRDefault="000F328E" w:rsidP="000F328E">
      <w:pPr>
        <w:widowControl w:val="0"/>
        <w:numPr>
          <w:ilvl w:val="0"/>
          <w:numId w:val="2"/>
        </w:numPr>
        <w:pBdr>
          <w:top w:val="nil"/>
          <w:left w:val="nil"/>
          <w:bottom w:val="nil"/>
          <w:right w:val="nil"/>
          <w:between w:val="nil"/>
        </w:pBdr>
        <w:tabs>
          <w:tab w:val="left" w:pos="461"/>
          <w:tab w:val="left" w:pos="10065"/>
        </w:tabs>
        <w:autoSpaceDE w:val="0"/>
        <w:autoSpaceDN w:val="0"/>
        <w:spacing w:after="0" w:line="240" w:lineRule="auto"/>
        <w:ind w:right="289"/>
        <w:jc w:val="both"/>
        <w:outlineLvl w:val="0"/>
        <w:rPr>
          <w:rFonts w:ascii="Times New Roman" w:eastAsia="Arial" w:hAnsi="Times New Roman" w:cs="Times New Roman"/>
          <w:sz w:val="24"/>
          <w:szCs w:val="24"/>
          <w:lang w:val="en-GB" w:bidi="ru-RU"/>
        </w:rPr>
      </w:pPr>
      <w:r w:rsidRPr="004046E6">
        <w:rPr>
          <w:rFonts w:ascii="Times New Roman" w:eastAsia="Arial" w:hAnsi="Times New Roman" w:cs="Times New Roman"/>
          <w:sz w:val="24"/>
          <w:szCs w:val="24"/>
          <w:lang w:val="en-GB" w:bidi="ru-RU"/>
        </w:rPr>
        <w:t>Flag obstacles and propose solutions to issues arising in the planning, implementation and monitoring of legal approximation policy to the Team Lead, the leadership of VRU and VRU Secretariat.</w:t>
      </w:r>
    </w:p>
    <w:p w14:paraId="00790175" w14:textId="70511CC4" w:rsidR="000F328E" w:rsidRPr="004046E6" w:rsidRDefault="000F328E" w:rsidP="000F328E">
      <w:pPr>
        <w:widowControl w:val="0"/>
        <w:numPr>
          <w:ilvl w:val="0"/>
          <w:numId w:val="2"/>
        </w:numPr>
        <w:pBdr>
          <w:top w:val="nil"/>
          <w:left w:val="nil"/>
          <w:bottom w:val="nil"/>
          <w:right w:val="nil"/>
          <w:between w:val="nil"/>
        </w:pBdr>
        <w:tabs>
          <w:tab w:val="left" w:pos="461"/>
          <w:tab w:val="left" w:pos="10065"/>
        </w:tabs>
        <w:autoSpaceDE w:val="0"/>
        <w:autoSpaceDN w:val="0"/>
        <w:spacing w:after="0" w:line="240" w:lineRule="auto"/>
        <w:ind w:right="289"/>
        <w:jc w:val="both"/>
        <w:outlineLvl w:val="0"/>
        <w:rPr>
          <w:rFonts w:ascii="Times New Roman" w:eastAsia="Arial" w:hAnsi="Times New Roman" w:cs="Times New Roman"/>
          <w:sz w:val="24"/>
          <w:szCs w:val="24"/>
          <w:lang w:val="en-GB" w:bidi="ru-RU"/>
        </w:rPr>
      </w:pPr>
      <w:r w:rsidRPr="004046E6">
        <w:rPr>
          <w:rFonts w:ascii="Times New Roman" w:eastAsia="Arial" w:hAnsi="Times New Roman" w:cs="Times New Roman"/>
          <w:sz w:val="24"/>
          <w:szCs w:val="24"/>
          <w:lang w:val="en-GB" w:bidi="ru-RU"/>
        </w:rPr>
        <w:t>Ensure effective communication and coordination at the expert level, when applicable, with the Secretariat of the Cabinet of Ministers (Government Office for European Integration), line ministries, technical assistance projects supporting the legal approximation process and URA support teams (RDO</w:t>
      </w:r>
      <w:r w:rsidR="0007578E">
        <w:rPr>
          <w:rFonts w:ascii="Times New Roman" w:eastAsia="Arial" w:hAnsi="Times New Roman" w:cs="Times New Roman"/>
          <w:sz w:val="24"/>
          <w:szCs w:val="24"/>
          <w:lang w:val="en-GB" w:bidi="ru-RU"/>
        </w:rPr>
        <w:t xml:space="preserve"> </w:t>
      </w:r>
      <w:r w:rsidRPr="004046E6">
        <w:rPr>
          <w:rFonts w:ascii="Times New Roman" w:eastAsia="Arial" w:hAnsi="Times New Roman" w:cs="Times New Roman"/>
          <w:sz w:val="24"/>
          <w:szCs w:val="24"/>
          <w:lang w:val="en-GB" w:bidi="ru-RU"/>
        </w:rPr>
        <w:t>of the CMU and RSTs in line ministries and agencies).</w:t>
      </w:r>
    </w:p>
    <w:p w14:paraId="3D398E1E" w14:textId="77777777" w:rsidR="000F328E" w:rsidRPr="004046E6" w:rsidRDefault="000F328E" w:rsidP="000F328E">
      <w:pPr>
        <w:widowControl w:val="0"/>
        <w:numPr>
          <w:ilvl w:val="0"/>
          <w:numId w:val="2"/>
        </w:numPr>
        <w:pBdr>
          <w:top w:val="nil"/>
          <w:left w:val="nil"/>
          <w:bottom w:val="nil"/>
          <w:right w:val="nil"/>
          <w:between w:val="nil"/>
        </w:pBdr>
        <w:tabs>
          <w:tab w:val="left" w:pos="461"/>
          <w:tab w:val="left" w:pos="10065"/>
        </w:tabs>
        <w:autoSpaceDE w:val="0"/>
        <w:autoSpaceDN w:val="0"/>
        <w:spacing w:after="0" w:line="240" w:lineRule="auto"/>
        <w:ind w:right="289"/>
        <w:jc w:val="both"/>
        <w:outlineLvl w:val="0"/>
        <w:rPr>
          <w:rFonts w:ascii="Times New Roman" w:eastAsia="Arial" w:hAnsi="Times New Roman" w:cs="Times New Roman"/>
          <w:sz w:val="24"/>
          <w:szCs w:val="24"/>
          <w:lang w:val="en-GB" w:bidi="ru-RU"/>
        </w:rPr>
      </w:pPr>
      <w:r w:rsidRPr="004046E6">
        <w:rPr>
          <w:rFonts w:ascii="Times New Roman" w:eastAsia="Arial" w:hAnsi="Times New Roman" w:cs="Times New Roman"/>
          <w:sz w:val="24"/>
          <w:szCs w:val="24"/>
          <w:lang w:val="en-GB" w:bidi="ru-RU"/>
        </w:rPr>
        <w:t>Ensure high-quality information and visibility of RST activities.</w:t>
      </w:r>
    </w:p>
    <w:p w14:paraId="640DD99B" w14:textId="77777777" w:rsidR="000F328E" w:rsidRPr="004046E6" w:rsidRDefault="000F328E" w:rsidP="000F328E">
      <w:pPr>
        <w:widowControl w:val="0"/>
        <w:numPr>
          <w:ilvl w:val="0"/>
          <w:numId w:val="2"/>
        </w:numPr>
        <w:pBdr>
          <w:top w:val="nil"/>
          <w:left w:val="nil"/>
          <w:bottom w:val="nil"/>
          <w:right w:val="nil"/>
          <w:between w:val="nil"/>
        </w:pBdr>
        <w:tabs>
          <w:tab w:val="left" w:pos="461"/>
          <w:tab w:val="left" w:pos="10065"/>
        </w:tabs>
        <w:autoSpaceDE w:val="0"/>
        <w:autoSpaceDN w:val="0"/>
        <w:spacing w:after="0" w:line="240" w:lineRule="auto"/>
        <w:ind w:right="289"/>
        <w:jc w:val="both"/>
        <w:outlineLvl w:val="0"/>
        <w:rPr>
          <w:rFonts w:ascii="Times New Roman" w:eastAsia="Arial" w:hAnsi="Times New Roman" w:cs="Times New Roman"/>
          <w:sz w:val="24"/>
          <w:szCs w:val="24"/>
          <w:lang w:val="en-GB" w:bidi="ru-RU"/>
        </w:rPr>
      </w:pPr>
      <w:r w:rsidRPr="004046E6">
        <w:rPr>
          <w:rFonts w:ascii="Times New Roman" w:eastAsia="Arial" w:hAnsi="Times New Roman" w:cs="Times New Roman"/>
          <w:sz w:val="24"/>
          <w:szCs w:val="24"/>
          <w:lang w:val="en-GB" w:bidi="ru-RU"/>
        </w:rPr>
        <w:t>Report on the implementation of legal approximation policy to the Team Lead, VRU leadership, the leadership of VRU Secretariat and the URA contributors.</w:t>
      </w:r>
    </w:p>
    <w:p w14:paraId="02620A45" w14:textId="77777777" w:rsidR="000F328E" w:rsidRPr="004046E6" w:rsidRDefault="000F328E" w:rsidP="000F328E">
      <w:pPr>
        <w:widowControl w:val="0"/>
        <w:pBdr>
          <w:top w:val="nil"/>
          <w:left w:val="nil"/>
          <w:bottom w:val="nil"/>
          <w:right w:val="nil"/>
          <w:between w:val="nil"/>
        </w:pBdr>
        <w:tabs>
          <w:tab w:val="left" w:pos="461"/>
          <w:tab w:val="left" w:pos="10065"/>
        </w:tabs>
        <w:autoSpaceDE w:val="0"/>
        <w:autoSpaceDN w:val="0"/>
        <w:spacing w:after="0" w:line="240" w:lineRule="auto"/>
        <w:ind w:left="460" w:right="289"/>
        <w:jc w:val="both"/>
        <w:outlineLvl w:val="0"/>
        <w:rPr>
          <w:rFonts w:ascii="Times New Roman" w:eastAsia="Arial" w:hAnsi="Times New Roman" w:cs="Times New Roman"/>
          <w:b/>
          <w:bCs/>
          <w:sz w:val="24"/>
          <w:szCs w:val="24"/>
          <w:lang w:val="en-GB" w:eastAsia="ru-RU" w:bidi="ru-RU"/>
        </w:rPr>
      </w:pPr>
    </w:p>
    <w:p w14:paraId="0630AF51" w14:textId="77777777" w:rsidR="000F328E" w:rsidRPr="00337F52" w:rsidRDefault="000F328E" w:rsidP="000F328E">
      <w:pPr>
        <w:pStyle w:val="a3"/>
        <w:widowControl w:val="0"/>
        <w:numPr>
          <w:ilvl w:val="0"/>
          <w:numId w:val="11"/>
        </w:numPr>
        <w:pBdr>
          <w:top w:val="nil"/>
          <w:left w:val="nil"/>
          <w:bottom w:val="nil"/>
          <w:right w:val="nil"/>
          <w:between w:val="nil"/>
        </w:pBdr>
        <w:tabs>
          <w:tab w:val="left" w:pos="461"/>
          <w:tab w:val="left" w:pos="10065"/>
        </w:tabs>
        <w:autoSpaceDE w:val="0"/>
        <w:autoSpaceDN w:val="0"/>
        <w:spacing w:after="0" w:line="240" w:lineRule="auto"/>
        <w:ind w:left="0" w:right="289" w:firstLine="0"/>
        <w:jc w:val="both"/>
        <w:outlineLvl w:val="0"/>
        <w:rPr>
          <w:rFonts w:ascii="Times New Roman" w:eastAsia="Arial" w:hAnsi="Times New Roman" w:cs="Times New Roman"/>
          <w:b/>
          <w:bCs/>
          <w:sz w:val="24"/>
          <w:szCs w:val="24"/>
          <w:lang w:val="en-GB" w:eastAsia="ru-RU" w:bidi="ru-RU"/>
        </w:rPr>
      </w:pPr>
      <w:r w:rsidRPr="00337F52">
        <w:rPr>
          <w:rFonts w:ascii="Times New Roman" w:eastAsia="Arial" w:hAnsi="Times New Roman" w:cs="Times New Roman"/>
          <w:b/>
          <w:bCs/>
          <w:sz w:val="24"/>
          <w:szCs w:val="24"/>
          <w:lang w:val="en-GB" w:eastAsia="ru-RU" w:bidi="ru-RU"/>
        </w:rPr>
        <w:t xml:space="preserve">Expected Deliverables: </w:t>
      </w:r>
    </w:p>
    <w:p w14:paraId="14C27D63" w14:textId="77777777" w:rsidR="000F328E" w:rsidRPr="004046E6" w:rsidRDefault="000F328E" w:rsidP="000F328E">
      <w:pPr>
        <w:widowControl w:val="0"/>
        <w:pBdr>
          <w:top w:val="nil"/>
          <w:left w:val="nil"/>
          <w:bottom w:val="nil"/>
          <w:right w:val="nil"/>
          <w:between w:val="nil"/>
        </w:pBdr>
        <w:tabs>
          <w:tab w:val="left" w:pos="461"/>
          <w:tab w:val="left" w:pos="10065"/>
        </w:tabs>
        <w:spacing w:after="0" w:line="240" w:lineRule="auto"/>
        <w:ind w:left="99" w:right="289"/>
        <w:jc w:val="both"/>
        <w:outlineLvl w:val="0"/>
        <w:rPr>
          <w:rFonts w:ascii="Times New Roman" w:eastAsia="Arial" w:hAnsi="Times New Roman" w:cs="Times New Roman"/>
          <w:b/>
          <w:bCs/>
          <w:sz w:val="24"/>
          <w:szCs w:val="24"/>
          <w:lang w:val="en-GB" w:eastAsia="ru-RU" w:bidi="ru-RU"/>
        </w:rPr>
      </w:pPr>
    </w:p>
    <w:p w14:paraId="045109F6" w14:textId="77777777" w:rsidR="000F328E" w:rsidRPr="004046E6" w:rsidRDefault="000F328E" w:rsidP="000F328E">
      <w:pPr>
        <w:widowControl w:val="0"/>
        <w:autoSpaceDE w:val="0"/>
        <w:autoSpaceDN w:val="0"/>
        <w:spacing w:after="120" w:line="240" w:lineRule="auto"/>
        <w:jc w:val="both"/>
        <w:rPr>
          <w:rFonts w:ascii="Times New Roman" w:eastAsia="Arial" w:hAnsi="Times New Roman" w:cs="Times New Roman"/>
          <w:sz w:val="24"/>
          <w:szCs w:val="24"/>
          <w:lang w:val="en-GB" w:bidi="ru-RU"/>
        </w:rPr>
      </w:pPr>
      <w:r w:rsidRPr="004046E6">
        <w:rPr>
          <w:rFonts w:ascii="Times New Roman" w:eastAsia="Arial" w:hAnsi="Times New Roman" w:cs="Times New Roman"/>
          <w:sz w:val="24"/>
          <w:szCs w:val="24"/>
          <w:lang w:val="en-GB" w:bidi="ru-RU"/>
        </w:rPr>
        <w:t>The consultant will conduct legal review and analysis, engage in legislative drafting and participate in relevant policy discussions in close collaboration with relevant VRU committees, departments, MPs, line ministries and other stakeholders.</w:t>
      </w:r>
    </w:p>
    <w:p w14:paraId="33F7E624" w14:textId="77777777" w:rsidR="000F328E" w:rsidRPr="004046E6" w:rsidRDefault="000F328E" w:rsidP="000F328E">
      <w:pPr>
        <w:widowControl w:val="0"/>
        <w:autoSpaceDE w:val="0"/>
        <w:autoSpaceDN w:val="0"/>
        <w:spacing w:after="120" w:line="240" w:lineRule="auto"/>
        <w:jc w:val="both"/>
        <w:rPr>
          <w:rFonts w:ascii="Times New Roman" w:eastAsia="Arial" w:hAnsi="Times New Roman" w:cs="Times New Roman"/>
          <w:sz w:val="24"/>
          <w:szCs w:val="24"/>
          <w:lang w:val="en-GB" w:bidi="ru-RU"/>
        </w:rPr>
      </w:pPr>
      <w:r w:rsidRPr="004046E6">
        <w:rPr>
          <w:rFonts w:ascii="Times New Roman" w:eastAsia="Arial" w:hAnsi="Times New Roman" w:cs="Times New Roman"/>
          <w:sz w:val="24"/>
          <w:szCs w:val="24"/>
          <w:lang w:val="en-GB" w:bidi="ru-RU"/>
        </w:rPr>
        <w:t xml:space="preserve">The Senior Legal Expert will be expected to: </w:t>
      </w:r>
    </w:p>
    <w:p w14:paraId="4844C503" w14:textId="77777777" w:rsidR="000F328E" w:rsidRPr="004046E6" w:rsidRDefault="000F328E" w:rsidP="000F328E">
      <w:pPr>
        <w:widowControl w:val="0"/>
        <w:numPr>
          <w:ilvl w:val="0"/>
          <w:numId w:val="4"/>
        </w:numPr>
        <w:pBdr>
          <w:top w:val="nil"/>
          <w:left w:val="nil"/>
          <w:bottom w:val="nil"/>
          <w:right w:val="nil"/>
          <w:between w:val="nil"/>
        </w:pBdr>
        <w:autoSpaceDE w:val="0"/>
        <w:autoSpaceDN w:val="0"/>
        <w:spacing w:after="0" w:line="240" w:lineRule="auto"/>
        <w:ind w:left="822" w:hanging="363"/>
        <w:jc w:val="both"/>
        <w:rPr>
          <w:rFonts w:ascii="Times New Roman" w:eastAsia="Arial" w:hAnsi="Times New Roman" w:cs="Times New Roman"/>
          <w:sz w:val="24"/>
          <w:szCs w:val="24"/>
          <w:lang w:val="en-GB" w:bidi="ru-RU"/>
        </w:rPr>
      </w:pPr>
      <w:r w:rsidRPr="004046E6">
        <w:rPr>
          <w:rFonts w:ascii="Times New Roman" w:eastAsia="Arial" w:hAnsi="Times New Roman" w:cs="Times New Roman"/>
          <w:sz w:val="24"/>
          <w:szCs w:val="24"/>
          <w:lang w:val="en-GB" w:bidi="ru-RU"/>
        </w:rPr>
        <w:t>In line with the RST Work Plan and division of work with the relevant EU-funded projects linked to legal approximation, ensure timely delivery of analytical reports on compliance (tables of concordance</w:t>
      </w:r>
      <w:r w:rsidRPr="004046E6">
        <w:rPr>
          <w:rFonts w:ascii="Times New Roman" w:eastAsia="Arial" w:hAnsi="Times New Roman" w:cs="Times New Roman"/>
          <w:sz w:val="24"/>
          <w:szCs w:val="24"/>
          <w:lang w:bidi="ru-RU"/>
        </w:rPr>
        <w:t xml:space="preserve"> </w:t>
      </w:r>
      <w:r w:rsidRPr="004046E6">
        <w:rPr>
          <w:rFonts w:ascii="Times New Roman" w:eastAsia="Arial" w:hAnsi="Times New Roman" w:cs="Times New Roman"/>
          <w:sz w:val="24"/>
          <w:szCs w:val="24"/>
          <w:lang w:val="en-US" w:bidi="ru-RU"/>
        </w:rPr>
        <w:t>with article-by-article analysis</w:t>
      </w:r>
      <w:r w:rsidRPr="004046E6">
        <w:rPr>
          <w:rFonts w:ascii="Times New Roman" w:eastAsia="Arial" w:hAnsi="Times New Roman" w:cs="Times New Roman"/>
          <w:sz w:val="24"/>
          <w:szCs w:val="24"/>
          <w:lang w:val="en-GB" w:bidi="ru-RU"/>
        </w:rPr>
        <w:t xml:space="preserve">, where required) of draft legislation with EU acquis in line with the corresponding plan of legislative activities, relevant provisions of the Rules of Procedures of the VRU and taking into account </w:t>
      </w:r>
      <w:r w:rsidRPr="004046E6">
        <w:rPr>
          <w:rFonts w:ascii="Times New Roman" w:eastAsia="Arial" w:hAnsi="Times New Roman" w:cs="Times New Roman"/>
          <w:sz w:val="24"/>
          <w:szCs w:val="24"/>
          <w:lang w:val="en-US" w:bidi="ru-RU"/>
        </w:rPr>
        <w:t>current</w:t>
      </w:r>
      <w:r w:rsidRPr="004046E6">
        <w:rPr>
          <w:rFonts w:ascii="Times New Roman" w:eastAsia="Arial" w:hAnsi="Times New Roman" w:cs="Times New Roman"/>
          <w:sz w:val="24"/>
          <w:szCs w:val="24"/>
          <w:lang w:val="en-GB" w:bidi="ru-RU"/>
        </w:rPr>
        <w:t xml:space="preserve"> practices within the VRU as agreed upon with the VRU / VRU Secretariat leadership.</w:t>
      </w:r>
    </w:p>
    <w:p w14:paraId="1146E2B1" w14:textId="77777777" w:rsidR="000F328E" w:rsidRDefault="000F328E" w:rsidP="000F328E">
      <w:pPr>
        <w:pStyle w:val="a3"/>
        <w:widowControl w:val="0"/>
        <w:numPr>
          <w:ilvl w:val="0"/>
          <w:numId w:val="4"/>
        </w:numPr>
        <w:pBdr>
          <w:top w:val="nil"/>
          <w:left w:val="nil"/>
          <w:bottom w:val="nil"/>
          <w:right w:val="nil"/>
          <w:between w:val="nil"/>
        </w:pBdr>
        <w:autoSpaceDE w:val="0"/>
        <w:autoSpaceDN w:val="0"/>
        <w:spacing w:after="0" w:line="240" w:lineRule="auto"/>
        <w:ind w:left="822" w:hanging="363"/>
        <w:jc w:val="both"/>
        <w:rPr>
          <w:rFonts w:ascii="Times New Roman" w:eastAsia="Arial" w:hAnsi="Times New Roman" w:cs="Times New Roman"/>
          <w:sz w:val="24"/>
          <w:szCs w:val="24"/>
          <w:lang w:val="en-GB" w:bidi="ru-RU"/>
        </w:rPr>
      </w:pPr>
      <w:r w:rsidRPr="007C54E3">
        <w:rPr>
          <w:rFonts w:ascii="Times New Roman" w:eastAsia="Arial" w:hAnsi="Times New Roman" w:cs="Times New Roman"/>
          <w:sz w:val="24"/>
          <w:szCs w:val="24"/>
          <w:lang w:val="en-GB" w:bidi="ru-RU"/>
        </w:rPr>
        <w:t>Ensure timely delivery of analytical reports on compliance of Ukraine’s legislation with EU acquis in Social Policy and Employment (including Freedom of Movement for Workers) areas, namely, chapters 2 and 19 of the EU acquis. Where applicable, such reports may by prepared in coordination with or based on the input of other EU-funded projects in the above area.</w:t>
      </w:r>
    </w:p>
    <w:p w14:paraId="67734CF5" w14:textId="77777777" w:rsidR="000F328E" w:rsidRPr="007C54E3" w:rsidRDefault="000F328E" w:rsidP="000F328E">
      <w:pPr>
        <w:pStyle w:val="a3"/>
        <w:widowControl w:val="0"/>
        <w:numPr>
          <w:ilvl w:val="0"/>
          <w:numId w:val="4"/>
        </w:numPr>
        <w:pBdr>
          <w:top w:val="nil"/>
          <w:left w:val="nil"/>
          <w:bottom w:val="nil"/>
          <w:right w:val="nil"/>
          <w:between w:val="nil"/>
        </w:pBdr>
        <w:autoSpaceDE w:val="0"/>
        <w:autoSpaceDN w:val="0"/>
        <w:spacing w:after="0" w:line="240" w:lineRule="auto"/>
        <w:ind w:left="822" w:hanging="363"/>
        <w:jc w:val="both"/>
        <w:rPr>
          <w:rFonts w:ascii="Times New Roman" w:eastAsia="Arial" w:hAnsi="Times New Roman" w:cs="Times New Roman"/>
          <w:sz w:val="24"/>
          <w:szCs w:val="24"/>
          <w:lang w:val="en-GB" w:bidi="ru-RU"/>
        </w:rPr>
      </w:pPr>
      <w:r w:rsidRPr="007C54E3">
        <w:rPr>
          <w:rFonts w:ascii="Times New Roman" w:eastAsia="Arial" w:hAnsi="Times New Roman" w:cs="Times New Roman"/>
          <w:sz w:val="24"/>
          <w:szCs w:val="24"/>
          <w:lang w:val="en-GB" w:bidi="ru-RU"/>
        </w:rPr>
        <w:t>Prepare reports and/or protocols regarding consultations held with stakeholders and other coordination meetings.</w:t>
      </w:r>
    </w:p>
    <w:p w14:paraId="4D5C36BC" w14:textId="77777777" w:rsidR="000F328E" w:rsidRDefault="000F328E" w:rsidP="000F328E">
      <w:pPr>
        <w:pStyle w:val="a3"/>
        <w:widowControl w:val="0"/>
        <w:numPr>
          <w:ilvl w:val="0"/>
          <w:numId w:val="4"/>
        </w:numPr>
        <w:pBdr>
          <w:top w:val="nil"/>
          <w:left w:val="nil"/>
          <w:bottom w:val="nil"/>
          <w:right w:val="nil"/>
          <w:between w:val="nil"/>
        </w:pBdr>
        <w:autoSpaceDE w:val="0"/>
        <w:autoSpaceDN w:val="0"/>
        <w:spacing w:after="0" w:line="240" w:lineRule="auto"/>
        <w:jc w:val="both"/>
        <w:rPr>
          <w:rFonts w:ascii="Times New Roman" w:eastAsia="Arial" w:hAnsi="Times New Roman" w:cs="Times New Roman"/>
          <w:sz w:val="24"/>
          <w:szCs w:val="24"/>
          <w:lang w:val="en-GB" w:bidi="ru-RU"/>
        </w:rPr>
      </w:pPr>
      <w:r w:rsidRPr="007C54E3">
        <w:rPr>
          <w:rFonts w:ascii="Times New Roman" w:eastAsia="Arial" w:hAnsi="Times New Roman" w:cs="Times New Roman"/>
          <w:sz w:val="24"/>
          <w:szCs w:val="24"/>
          <w:lang w:val="en-GB" w:bidi="ru-RU"/>
        </w:rPr>
        <w:t>In close coordination with EU-funded projects in the area of Social Policy and Employment (Freedom of Movement for Workers) and the relevant VRU Committee, contribute to the development of draft legislation in Social Policy and Employment (Freedom of Movement for Workers) area, where appropriate.</w:t>
      </w:r>
    </w:p>
    <w:p w14:paraId="65AC9B11" w14:textId="77777777" w:rsidR="000F328E" w:rsidRPr="007C54E3" w:rsidRDefault="000F328E" w:rsidP="000F328E">
      <w:pPr>
        <w:pStyle w:val="a3"/>
        <w:widowControl w:val="0"/>
        <w:numPr>
          <w:ilvl w:val="0"/>
          <w:numId w:val="4"/>
        </w:numPr>
        <w:pBdr>
          <w:top w:val="nil"/>
          <w:left w:val="nil"/>
          <w:bottom w:val="nil"/>
          <w:right w:val="nil"/>
          <w:between w:val="nil"/>
        </w:pBdr>
        <w:autoSpaceDE w:val="0"/>
        <w:autoSpaceDN w:val="0"/>
        <w:spacing w:after="0" w:line="240" w:lineRule="auto"/>
        <w:jc w:val="both"/>
        <w:rPr>
          <w:rFonts w:ascii="Times New Roman" w:eastAsia="Arial" w:hAnsi="Times New Roman" w:cs="Times New Roman"/>
          <w:sz w:val="24"/>
          <w:szCs w:val="24"/>
          <w:lang w:val="en-GB" w:bidi="ru-RU"/>
        </w:rPr>
      </w:pPr>
      <w:r w:rsidRPr="007C54E3">
        <w:rPr>
          <w:rFonts w:ascii="Times New Roman" w:eastAsia="Arial" w:hAnsi="Times New Roman" w:cs="Times New Roman"/>
          <w:sz w:val="24"/>
          <w:szCs w:val="24"/>
          <w:lang w:val="en-GB" w:bidi="ru-RU"/>
        </w:rPr>
        <w:t>Produce analys</w:t>
      </w:r>
      <w:r>
        <w:rPr>
          <w:rFonts w:ascii="Times New Roman" w:eastAsia="Arial" w:hAnsi="Times New Roman" w:cs="Times New Roman"/>
          <w:sz w:val="24"/>
          <w:szCs w:val="24"/>
          <w:lang w:val="en-GB" w:bidi="ru-RU"/>
        </w:rPr>
        <w:t>i</w:t>
      </w:r>
      <w:r w:rsidRPr="007C54E3">
        <w:rPr>
          <w:rFonts w:ascii="Times New Roman" w:eastAsia="Arial" w:hAnsi="Times New Roman" w:cs="Times New Roman"/>
          <w:sz w:val="24"/>
          <w:szCs w:val="24"/>
          <w:lang w:val="en-GB" w:bidi="ru-RU"/>
        </w:rPr>
        <w:t xml:space="preserve">s of current Ukraine’s legislation in </w:t>
      </w:r>
      <w:r w:rsidRPr="00D6623D">
        <w:rPr>
          <w:rFonts w:ascii="Times New Roman" w:eastAsia="Arial" w:hAnsi="Times New Roman" w:cs="Times New Roman"/>
          <w:sz w:val="24"/>
          <w:szCs w:val="24"/>
          <w:lang w:eastAsia="ru-RU" w:bidi="ru-RU"/>
        </w:rPr>
        <w:t>Social Policy and Employment (combined with Freedom of Movement for Workers)</w:t>
      </w:r>
      <w:r w:rsidRPr="00D6623D" w:rsidDel="007B6CF2">
        <w:rPr>
          <w:rFonts w:ascii="Times New Roman" w:eastAsia="Arial" w:hAnsi="Times New Roman" w:cs="Times New Roman"/>
          <w:sz w:val="24"/>
          <w:szCs w:val="24"/>
          <w:lang w:val="en-GB" w:eastAsia="ru-RU" w:bidi="ru-RU"/>
        </w:rPr>
        <w:t xml:space="preserve"> </w:t>
      </w:r>
      <w:r w:rsidRPr="007C54E3">
        <w:rPr>
          <w:rFonts w:ascii="Times New Roman" w:eastAsia="Arial" w:hAnsi="Times New Roman" w:cs="Times New Roman"/>
          <w:sz w:val="24"/>
          <w:szCs w:val="24"/>
          <w:lang w:val="en-GB" w:eastAsia="ru-RU" w:bidi="ru-RU"/>
        </w:rPr>
        <w:t>on</w:t>
      </w:r>
      <w:r w:rsidRPr="007C54E3">
        <w:rPr>
          <w:rFonts w:ascii="Times New Roman" w:eastAsia="Arial" w:hAnsi="Times New Roman" w:cs="Times New Roman"/>
          <w:sz w:val="24"/>
          <w:szCs w:val="24"/>
          <w:lang w:val="en-GB" w:bidi="ru-RU"/>
        </w:rPr>
        <w:t xml:space="preserve"> its compliance with EU acquis, including policy briefs and analytical notes.</w:t>
      </w:r>
    </w:p>
    <w:p w14:paraId="29C5D409" w14:textId="77777777" w:rsidR="000F328E" w:rsidRPr="00D6623D" w:rsidRDefault="000F328E" w:rsidP="000F328E">
      <w:pPr>
        <w:widowControl w:val="0"/>
        <w:numPr>
          <w:ilvl w:val="0"/>
          <w:numId w:val="4"/>
        </w:numPr>
        <w:pBdr>
          <w:top w:val="nil"/>
          <w:left w:val="nil"/>
          <w:bottom w:val="nil"/>
          <w:right w:val="nil"/>
          <w:between w:val="nil"/>
        </w:pBdr>
        <w:autoSpaceDE w:val="0"/>
        <w:autoSpaceDN w:val="0"/>
        <w:spacing w:after="0" w:line="240" w:lineRule="auto"/>
        <w:jc w:val="both"/>
        <w:rPr>
          <w:rFonts w:ascii="Times New Roman" w:eastAsia="Arial" w:hAnsi="Times New Roman" w:cs="Times New Roman"/>
          <w:sz w:val="24"/>
          <w:szCs w:val="24"/>
          <w:lang w:val="en-GB" w:bidi="ru-RU"/>
        </w:rPr>
      </w:pPr>
      <w:r w:rsidRPr="004046E6">
        <w:rPr>
          <w:rFonts w:ascii="Times New Roman" w:eastAsia="Arial" w:hAnsi="Times New Roman" w:cs="Times New Roman"/>
          <w:sz w:val="24"/>
          <w:szCs w:val="24"/>
          <w:lang w:val="en-GB" w:bidi="ru-RU"/>
        </w:rPr>
        <w:t xml:space="preserve">Produce analysis of draft laws submitted by the Government, MPs and the President on their compliance with European legislation and requirements of the EU acquis </w:t>
      </w:r>
      <w:r w:rsidRPr="00D6623D">
        <w:rPr>
          <w:rFonts w:ascii="Times New Roman" w:eastAsia="Arial" w:hAnsi="Times New Roman" w:cs="Times New Roman"/>
          <w:sz w:val="24"/>
          <w:szCs w:val="24"/>
          <w:lang w:val="en-US" w:eastAsia="ru-RU" w:bidi="ru-RU"/>
        </w:rPr>
        <w:t>Social Policy and Employment (Freedom of Movement for Workers)</w:t>
      </w:r>
      <w:r w:rsidRPr="004046E6">
        <w:rPr>
          <w:rFonts w:ascii="Times New Roman" w:eastAsia="Arial" w:hAnsi="Times New Roman" w:cs="Times New Roman"/>
          <w:sz w:val="24"/>
          <w:szCs w:val="24"/>
          <w:lang w:val="en-GB" w:bidi="ru-RU"/>
        </w:rPr>
        <w:t xml:space="preserve">, </w:t>
      </w:r>
      <w:r w:rsidRPr="00D6623D">
        <w:rPr>
          <w:rFonts w:ascii="Times New Roman" w:eastAsia="Arial" w:hAnsi="Times New Roman" w:cs="Times New Roman"/>
          <w:sz w:val="24"/>
          <w:szCs w:val="24"/>
          <w:lang w:val="en-GB" w:eastAsia="ru-RU" w:bidi="ru-RU"/>
        </w:rPr>
        <w:t xml:space="preserve">area </w:t>
      </w:r>
      <w:r w:rsidRPr="00D6623D">
        <w:rPr>
          <w:rFonts w:ascii="Times New Roman" w:eastAsia="Arial" w:hAnsi="Times New Roman" w:cs="Times New Roman"/>
          <w:sz w:val="24"/>
          <w:szCs w:val="24"/>
          <w:lang w:val="en-GB" w:bidi="ru-RU"/>
        </w:rPr>
        <w:t>namely, chapters 2 and 19 of the EU acquis</w:t>
      </w:r>
      <w:r w:rsidRPr="00D6623D">
        <w:rPr>
          <w:rStyle w:val="a7"/>
          <w:rFonts w:ascii="Times New Roman" w:eastAsia="Arial" w:hAnsi="Times New Roman" w:cs="Times New Roman"/>
          <w:sz w:val="24"/>
          <w:szCs w:val="24"/>
          <w:lang w:val="en-GB" w:bidi="ru-RU"/>
        </w:rPr>
        <w:footnoteReference w:id="3"/>
      </w:r>
      <w:r w:rsidRPr="00D6623D">
        <w:rPr>
          <w:rFonts w:ascii="Times New Roman" w:eastAsia="Arial" w:hAnsi="Times New Roman" w:cs="Times New Roman"/>
          <w:sz w:val="24"/>
          <w:szCs w:val="24"/>
          <w:lang w:val="en-GB" w:bidi="ru-RU"/>
        </w:rPr>
        <w:t>.</w:t>
      </w:r>
    </w:p>
    <w:p w14:paraId="25643696" w14:textId="77777777" w:rsidR="000F328E" w:rsidRPr="004046E6" w:rsidRDefault="000F328E" w:rsidP="000F328E">
      <w:pPr>
        <w:widowControl w:val="0"/>
        <w:numPr>
          <w:ilvl w:val="0"/>
          <w:numId w:val="4"/>
        </w:numPr>
        <w:pBdr>
          <w:top w:val="nil"/>
          <w:left w:val="nil"/>
          <w:bottom w:val="nil"/>
          <w:right w:val="nil"/>
          <w:between w:val="nil"/>
        </w:pBdr>
        <w:autoSpaceDE w:val="0"/>
        <w:autoSpaceDN w:val="0"/>
        <w:spacing w:after="0" w:line="240" w:lineRule="auto"/>
        <w:ind w:left="822" w:hanging="363"/>
        <w:jc w:val="both"/>
        <w:rPr>
          <w:rFonts w:ascii="Times New Roman" w:eastAsia="Arial" w:hAnsi="Times New Roman" w:cs="Times New Roman"/>
          <w:sz w:val="24"/>
          <w:szCs w:val="24"/>
          <w:lang w:val="en-GB" w:bidi="ru-RU"/>
        </w:rPr>
      </w:pPr>
      <w:r w:rsidRPr="004046E6">
        <w:rPr>
          <w:rFonts w:ascii="Times New Roman" w:eastAsia="Arial" w:hAnsi="Times New Roman" w:cs="Times New Roman"/>
          <w:sz w:val="24"/>
          <w:szCs w:val="24"/>
          <w:lang w:val="en-GB" w:bidi="ru-RU"/>
        </w:rPr>
        <w:t xml:space="preserve">Prepare proposals for the harmonisation of national legislation with European legislation in case of identifying the gaps in current or drafted Ukrainian legislation in close coordination with the VRU Committee on </w:t>
      </w:r>
      <w:r>
        <w:rPr>
          <w:rFonts w:ascii="Times New Roman" w:eastAsia="Arial" w:hAnsi="Times New Roman" w:cs="Times New Roman"/>
          <w:sz w:val="24"/>
          <w:szCs w:val="24"/>
          <w:lang w:val="en-GB" w:bidi="ru-RU"/>
        </w:rPr>
        <w:t>Social</w:t>
      </w:r>
      <w:r w:rsidRPr="004046E6">
        <w:rPr>
          <w:rFonts w:ascii="Times New Roman" w:eastAsia="Arial" w:hAnsi="Times New Roman" w:cs="Times New Roman"/>
          <w:sz w:val="24"/>
          <w:szCs w:val="24"/>
          <w:lang w:val="en-GB" w:bidi="ru-RU"/>
        </w:rPr>
        <w:t xml:space="preserve"> policy</w:t>
      </w:r>
      <w:r>
        <w:rPr>
          <w:rFonts w:ascii="Times New Roman" w:eastAsia="Arial" w:hAnsi="Times New Roman" w:cs="Times New Roman"/>
          <w:sz w:val="24"/>
          <w:szCs w:val="24"/>
          <w:lang w:val="en-GB" w:bidi="ru-RU"/>
        </w:rPr>
        <w:t xml:space="preserve"> and Veteran’s rights</w:t>
      </w:r>
      <w:r w:rsidRPr="004046E6">
        <w:rPr>
          <w:rFonts w:ascii="Times New Roman" w:eastAsia="Arial" w:hAnsi="Times New Roman" w:cs="Times New Roman"/>
          <w:sz w:val="24"/>
          <w:szCs w:val="24"/>
          <w:lang w:val="en-GB" w:bidi="ru-RU"/>
        </w:rPr>
        <w:t xml:space="preserve"> and other parliamentary and government stakeholders in this area.</w:t>
      </w:r>
    </w:p>
    <w:p w14:paraId="108EDFC1" w14:textId="77777777" w:rsidR="000F328E" w:rsidRPr="004046E6" w:rsidRDefault="000F328E" w:rsidP="000F328E">
      <w:pPr>
        <w:widowControl w:val="0"/>
        <w:numPr>
          <w:ilvl w:val="0"/>
          <w:numId w:val="4"/>
        </w:numPr>
        <w:pBdr>
          <w:top w:val="nil"/>
          <w:left w:val="nil"/>
          <w:bottom w:val="nil"/>
          <w:right w:val="nil"/>
          <w:between w:val="nil"/>
        </w:pBdr>
        <w:autoSpaceDE w:val="0"/>
        <w:autoSpaceDN w:val="0"/>
        <w:spacing w:after="0" w:line="240" w:lineRule="auto"/>
        <w:ind w:left="822" w:hanging="363"/>
        <w:jc w:val="both"/>
        <w:rPr>
          <w:rFonts w:ascii="Times New Roman" w:eastAsia="Arial" w:hAnsi="Times New Roman" w:cs="Times New Roman"/>
          <w:sz w:val="24"/>
          <w:szCs w:val="24"/>
          <w:lang w:val="en-GB" w:bidi="ru-RU"/>
        </w:rPr>
      </w:pPr>
      <w:r w:rsidRPr="004046E6">
        <w:rPr>
          <w:rFonts w:ascii="Times New Roman" w:eastAsia="Arial" w:hAnsi="Times New Roman" w:cs="Times New Roman"/>
          <w:sz w:val="24"/>
          <w:szCs w:val="24"/>
          <w:lang w:val="en-GB" w:bidi="ru-RU"/>
        </w:rPr>
        <w:t>Arrange/participate in coordination and communication meetings with the Secretariat of the Chairman of the VRU, Committees of the VRU and their secretariats, VRU departments, MPs, line ministries and other stakeholders regarding the EU integration draft laws.</w:t>
      </w:r>
    </w:p>
    <w:p w14:paraId="542A989F" w14:textId="77777777" w:rsidR="000F328E" w:rsidRPr="004046E6" w:rsidRDefault="000F328E" w:rsidP="000F328E">
      <w:pPr>
        <w:widowControl w:val="0"/>
        <w:numPr>
          <w:ilvl w:val="0"/>
          <w:numId w:val="4"/>
        </w:numPr>
        <w:pBdr>
          <w:top w:val="nil"/>
          <w:left w:val="nil"/>
          <w:bottom w:val="nil"/>
          <w:right w:val="nil"/>
          <w:between w:val="nil"/>
        </w:pBdr>
        <w:autoSpaceDE w:val="0"/>
        <w:autoSpaceDN w:val="0"/>
        <w:spacing w:after="0" w:line="240" w:lineRule="auto"/>
        <w:jc w:val="both"/>
        <w:rPr>
          <w:rFonts w:ascii="Times New Roman" w:eastAsia="Arial" w:hAnsi="Times New Roman" w:cs="Times New Roman"/>
          <w:sz w:val="24"/>
          <w:szCs w:val="24"/>
          <w:lang w:val="en-GB" w:bidi="ru-RU"/>
        </w:rPr>
      </w:pPr>
      <w:r w:rsidRPr="004046E6">
        <w:rPr>
          <w:rFonts w:ascii="Times New Roman" w:eastAsia="Arial" w:hAnsi="Times New Roman" w:cs="Times New Roman"/>
          <w:sz w:val="24"/>
          <w:szCs w:val="24"/>
          <w:lang w:val="en-GB" w:bidi="ru-RU"/>
        </w:rPr>
        <w:t xml:space="preserve">Participate, upon invitation, in the sub-committees, VRU committees hearings when EU </w:t>
      </w:r>
      <w:r w:rsidRPr="004046E6">
        <w:rPr>
          <w:rFonts w:ascii="Times New Roman" w:eastAsia="Arial" w:hAnsi="Times New Roman" w:cs="Times New Roman"/>
          <w:sz w:val="24"/>
          <w:szCs w:val="24"/>
          <w:lang w:val="en-GB" w:bidi="ru-RU"/>
        </w:rPr>
        <w:lastRenderedPageBreak/>
        <w:t>integration draft laws are considered.</w:t>
      </w:r>
    </w:p>
    <w:p w14:paraId="012DFDBB" w14:textId="77777777" w:rsidR="000F328E" w:rsidRPr="004046E6" w:rsidRDefault="000F328E" w:rsidP="000F328E">
      <w:pPr>
        <w:widowControl w:val="0"/>
        <w:numPr>
          <w:ilvl w:val="0"/>
          <w:numId w:val="4"/>
        </w:numPr>
        <w:pBdr>
          <w:top w:val="nil"/>
          <w:left w:val="nil"/>
          <w:bottom w:val="nil"/>
          <w:right w:val="nil"/>
          <w:between w:val="nil"/>
        </w:pBdr>
        <w:autoSpaceDE w:val="0"/>
        <w:autoSpaceDN w:val="0"/>
        <w:spacing w:after="0" w:line="240" w:lineRule="auto"/>
        <w:ind w:left="822" w:hanging="363"/>
        <w:jc w:val="both"/>
        <w:rPr>
          <w:rFonts w:ascii="Times New Roman" w:eastAsia="Arial" w:hAnsi="Times New Roman" w:cs="Times New Roman"/>
          <w:sz w:val="24"/>
          <w:szCs w:val="24"/>
          <w:lang w:val="en-GB" w:bidi="ru-RU"/>
        </w:rPr>
      </w:pPr>
      <w:r w:rsidRPr="004046E6">
        <w:rPr>
          <w:rFonts w:ascii="Times New Roman" w:eastAsia="Arial" w:hAnsi="Times New Roman" w:cs="Times New Roman"/>
          <w:sz w:val="24"/>
          <w:szCs w:val="24"/>
          <w:lang w:val="en-GB" w:bidi="ru-RU"/>
        </w:rPr>
        <w:t xml:space="preserve">Participate in regular coordination meetings with RDO and respective RSTs and other EU-funded projects in the field. </w:t>
      </w:r>
    </w:p>
    <w:p w14:paraId="5C6BACF9" w14:textId="77777777" w:rsidR="000F328E" w:rsidRPr="004046E6" w:rsidRDefault="000F328E" w:rsidP="000F328E">
      <w:pPr>
        <w:widowControl w:val="0"/>
        <w:numPr>
          <w:ilvl w:val="0"/>
          <w:numId w:val="4"/>
        </w:numPr>
        <w:autoSpaceDE w:val="0"/>
        <w:autoSpaceDN w:val="0"/>
        <w:spacing w:after="0" w:line="240" w:lineRule="auto"/>
        <w:jc w:val="both"/>
        <w:rPr>
          <w:rFonts w:ascii="Times New Roman" w:eastAsia="Arial" w:hAnsi="Times New Roman" w:cs="Times New Roman"/>
          <w:sz w:val="24"/>
          <w:szCs w:val="24"/>
          <w:lang w:val="en-GB" w:bidi="ru-RU"/>
        </w:rPr>
      </w:pPr>
      <w:r w:rsidRPr="004046E6">
        <w:rPr>
          <w:rFonts w:ascii="Times New Roman" w:eastAsia="Arial" w:hAnsi="Times New Roman" w:cs="Times New Roman"/>
          <w:sz w:val="24"/>
          <w:szCs w:val="24"/>
          <w:lang w:val="en-GB" w:bidi="ru-RU"/>
        </w:rPr>
        <w:t>Support the Team Lead with regular reporting to the host institution and the donors in line with specific requirements.</w:t>
      </w:r>
    </w:p>
    <w:p w14:paraId="29D7B596" w14:textId="77777777" w:rsidR="000F328E" w:rsidRPr="004046E6" w:rsidRDefault="000F328E" w:rsidP="000F328E">
      <w:pPr>
        <w:widowControl w:val="0"/>
        <w:numPr>
          <w:ilvl w:val="0"/>
          <w:numId w:val="4"/>
        </w:numPr>
        <w:pBdr>
          <w:top w:val="nil"/>
          <w:left w:val="nil"/>
          <w:bottom w:val="nil"/>
          <w:right w:val="nil"/>
          <w:between w:val="nil"/>
        </w:pBdr>
        <w:autoSpaceDE w:val="0"/>
        <w:autoSpaceDN w:val="0"/>
        <w:spacing w:after="0" w:line="240" w:lineRule="auto"/>
        <w:jc w:val="both"/>
        <w:rPr>
          <w:rFonts w:ascii="Times New Roman" w:eastAsia="Arial" w:hAnsi="Times New Roman" w:cs="Times New Roman"/>
          <w:sz w:val="24"/>
          <w:szCs w:val="24"/>
          <w:lang w:val="en-GB" w:bidi="ru-RU"/>
        </w:rPr>
      </w:pPr>
      <w:r w:rsidRPr="004046E6">
        <w:rPr>
          <w:rFonts w:ascii="Times New Roman" w:eastAsia="Arial" w:hAnsi="Times New Roman" w:cs="Times New Roman"/>
          <w:sz w:val="24"/>
          <w:szCs w:val="24"/>
          <w:lang w:val="en-GB" w:bidi="ru-RU"/>
        </w:rPr>
        <w:t xml:space="preserve">Expected deliverables may be adjusted depending on the current needs and situation. </w:t>
      </w:r>
    </w:p>
    <w:p w14:paraId="535DF45D" w14:textId="77777777" w:rsidR="000F328E" w:rsidRPr="004046E6" w:rsidRDefault="000F328E" w:rsidP="000F328E">
      <w:pPr>
        <w:pBdr>
          <w:top w:val="nil"/>
          <w:left w:val="nil"/>
          <w:bottom w:val="nil"/>
          <w:right w:val="nil"/>
          <w:between w:val="nil"/>
        </w:pBdr>
        <w:spacing w:after="0" w:line="240" w:lineRule="auto"/>
        <w:ind w:left="714"/>
        <w:jc w:val="both"/>
        <w:rPr>
          <w:rFonts w:ascii="Times New Roman" w:eastAsia="Times New Roman" w:hAnsi="Times New Roman" w:cs="Times New Roman"/>
          <w:sz w:val="24"/>
          <w:szCs w:val="24"/>
          <w:lang w:val="en-US" w:eastAsia="ru-RU" w:bidi="ru-RU"/>
        </w:rPr>
      </w:pPr>
    </w:p>
    <w:p w14:paraId="56746874" w14:textId="77777777" w:rsidR="000F328E" w:rsidRPr="004046E6" w:rsidRDefault="000F328E" w:rsidP="000F328E">
      <w:pPr>
        <w:widowControl w:val="0"/>
        <w:pBdr>
          <w:top w:val="nil"/>
          <w:left w:val="nil"/>
          <w:bottom w:val="nil"/>
          <w:right w:val="nil"/>
          <w:between w:val="nil"/>
        </w:pBdr>
        <w:autoSpaceDE w:val="0"/>
        <w:autoSpaceDN w:val="0"/>
        <w:spacing w:after="0" w:line="240" w:lineRule="auto"/>
        <w:jc w:val="both"/>
        <w:rPr>
          <w:rFonts w:ascii="Times New Roman" w:eastAsia="Times New Roman" w:hAnsi="Times New Roman" w:cs="Times New Roman"/>
          <w:sz w:val="24"/>
          <w:szCs w:val="24"/>
          <w:lang w:val="en-GB" w:eastAsia="ru-RU" w:bidi="ru-RU"/>
        </w:rPr>
      </w:pPr>
      <w:r w:rsidRPr="004046E6">
        <w:rPr>
          <w:rFonts w:ascii="Times New Roman" w:eastAsia="Times New Roman" w:hAnsi="Times New Roman" w:cs="Times New Roman"/>
          <w:sz w:val="24"/>
          <w:szCs w:val="24"/>
          <w:lang w:val="en-GB" w:eastAsia="ru-RU" w:bidi="ru-RU"/>
        </w:rPr>
        <w:t>The specified lists of scope and specification of the services and expected deliverables are not exhaustive and can be modified and supplemented on request and agreement with EUD/EBRD or on request from the VRU.</w:t>
      </w:r>
    </w:p>
    <w:p w14:paraId="4AD80DB8" w14:textId="77777777" w:rsidR="000F328E" w:rsidRPr="004046E6" w:rsidRDefault="000F328E" w:rsidP="000F328E">
      <w:pPr>
        <w:widowControl w:val="0"/>
        <w:pBdr>
          <w:top w:val="nil"/>
          <w:left w:val="nil"/>
          <w:bottom w:val="nil"/>
          <w:right w:val="nil"/>
          <w:between w:val="nil"/>
        </w:pBdr>
        <w:autoSpaceDE w:val="0"/>
        <w:autoSpaceDN w:val="0"/>
        <w:spacing w:after="0" w:line="240" w:lineRule="auto"/>
        <w:jc w:val="both"/>
        <w:rPr>
          <w:rFonts w:ascii="Times New Roman" w:eastAsia="Times New Roman" w:hAnsi="Times New Roman" w:cs="Times New Roman"/>
          <w:b/>
          <w:sz w:val="24"/>
          <w:szCs w:val="24"/>
          <w:lang w:val="en-GB" w:eastAsia="ru-RU" w:bidi="ru-RU"/>
        </w:rPr>
      </w:pPr>
    </w:p>
    <w:p w14:paraId="5D93350B" w14:textId="77777777" w:rsidR="000F328E" w:rsidRPr="004046E6" w:rsidRDefault="000F328E" w:rsidP="000F328E">
      <w:pPr>
        <w:spacing w:after="0" w:line="240" w:lineRule="auto"/>
        <w:jc w:val="both"/>
        <w:rPr>
          <w:rFonts w:ascii="Times New Roman" w:hAnsi="Times New Roman" w:cs="Times New Roman"/>
          <w:b/>
          <w:color w:val="000000" w:themeColor="text1"/>
          <w:sz w:val="24"/>
          <w:szCs w:val="24"/>
          <w:lang w:val="en-GB"/>
        </w:rPr>
      </w:pPr>
      <w:r w:rsidRPr="004046E6">
        <w:rPr>
          <w:rFonts w:ascii="Times New Roman" w:hAnsi="Times New Roman" w:cs="Times New Roman"/>
          <w:b/>
          <w:color w:val="000000" w:themeColor="text1"/>
          <w:sz w:val="24"/>
          <w:szCs w:val="24"/>
          <w:lang w:val="en-GB"/>
        </w:rPr>
        <w:t>The position is based on-site in Kyiv. This is not a remote work opportunity.</w:t>
      </w:r>
    </w:p>
    <w:p w14:paraId="7366C1BB" w14:textId="77777777" w:rsidR="000F328E" w:rsidRPr="004046E6" w:rsidRDefault="000F328E" w:rsidP="000F328E">
      <w:pPr>
        <w:spacing w:after="0" w:line="240" w:lineRule="auto"/>
        <w:jc w:val="both"/>
        <w:rPr>
          <w:rFonts w:ascii="Times New Roman" w:hAnsi="Times New Roman" w:cs="Times New Roman"/>
          <w:b/>
          <w:color w:val="000000" w:themeColor="text1"/>
          <w:sz w:val="24"/>
          <w:szCs w:val="24"/>
          <w:lang w:val="en-GB"/>
        </w:rPr>
      </w:pPr>
    </w:p>
    <w:p w14:paraId="482321DD" w14:textId="77777777" w:rsidR="000F328E" w:rsidRPr="004046E6" w:rsidRDefault="000F328E" w:rsidP="000F328E">
      <w:pPr>
        <w:pStyle w:val="a3"/>
        <w:numPr>
          <w:ilvl w:val="0"/>
          <w:numId w:val="11"/>
        </w:numPr>
        <w:spacing w:after="0" w:line="240" w:lineRule="auto"/>
        <w:ind w:left="0" w:firstLine="31"/>
        <w:contextualSpacing w:val="0"/>
        <w:jc w:val="both"/>
        <w:rPr>
          <w:rFonts w:ascii="Times New Roman" w:hAnsi="Times New Roman" w:cs="Times New Roman"/>
          <w:b/>
          <w:color w:val="000000" w:themeColor="text1"/>
          <w:sz w:val="24"/>
          <w:szCs w:val="24"/>
          <w:lang w:val="en-GB"/>
        </w:rPr>
      </w:pPr>
      <w:r w:rsidRPr="004046E6">
        <w:rPr>
          <w:rFonts w:ascii="Times New Roman" w:hAnsi="Times New Roman" w:cs="Times New Roman"/>
          <w:b/>
          <w:color w:val="000000" w:themeColor="text1"/>
          <w:sz w:val="24"/>
          <w:szCs w:val="24"/>
          <w:lang w:val="en-GB"/>
        </w:rPr>
        <w:t>Qualifications, skills and experience</w:t>
      </w:r>
      <w:r w:rsidRPr="004046E6">
        <w:rPr>
          <w:rFonts w:ascii="Times New Roman" w:eastAsia="Arial" w:hAnsi="Times New Roman" w:cs="Times New Roman"/>
          <w:b/>
          <w:bCs/>
          <w:sz w:val="24"/>
          <w:szCs w:val="24"/>
          <w:lang w:val="en-GB" w:eastAsia="ru-RU" w:bidi="ru-RU"/>
        </w:rPr>
        <w:t xml:space="preserve"> </w:t>
      </w:r>
      <w:r>
        <w:rPr>
          <w:rFonts w:ascii="Times New Roman" w:eastAsia="Arial" w:hAnsi="Times New Roman" w:cs="Times New Roman"/>
          <w:b/>
          <w:bCs/>
          <w:sz w:val="24"/>
          <w:szCs w:val="24"/>
          <w:lang w:val="en-GB" w:eastAsia="ru-RU" w:bidi="ru-RU"/>
        </w:rPr>
        <w:t>r</w:t>
      </w:r>
      <w:r w:rsidRPr="004046E6">
        <w:rPr>
          <w:rFonts w:ascii="Times New Roman" w:eastAsia="Arial" w:hAnsi="Times New Roman" w:cs="Times New Roman"/>
          <w:b/>
          <w:bCs/>
          <w:sz w:val="24"/>
          <w:szCs w:val="24"/>
          <w:lang w:val="en-GB" w:eastAsia="ru-RU" w:bidi="ru-RU"/>
        </w:rPr>
        <w:t>equired</w:t>
      </w:r>
    </w:p>
    <w:p w14:paraId="06D6E9BD" w14:textId="77777777" w:rsidR="000F328E" w:rsidRPr="004046E6" w:rsidRDefault="000F328E" w:rsidP="000F328E">
      <w:pPr>
        <w:spacing w:after="0" w:line="240" w:lineRule="auto"/>
        <w:jc w:val="both"/>
        <w:rPr>
          <w:rFonts w:ascii="Times New Roman" w:hAnsi="Times New Roman" w:cs="Times New Roman"/>
          <w:i/>
          <w:color w:val="000000" w:themeColor="text1"/>
          <w:sz w:val="24"/>
          <w:szCs w:val="24"/>
          <w:lang w:val="en-GB"/>
        </w:rPr>
      </w:pPr>
    </w:p>
    <w:p w14:paraId="7DD1B1F3" w14:textId="77777777" w:rsidR="000F328E" w:rsidRPr="004046E6" w:rsidRDefault="000F328E" w:rsidP="000F328E">
      <w:pPr>
        <w:pStyle w:val="a3"/>
        <w:numPr>
          <w:ilvl w:val="1"/>
          <w:numId w:val="11"/>
        </w:numPr>
        <w:spacing w:after="0" w:line="240" w:lineRule="auto"/>
        <w:jc w:val="both"/>
        <w:rPr>
          <w:rFonts w:ascii="Times New Roman" w:hAnsi="Times New Roman" w:cs="Times New Roman"/>
          <w:color w:val="000000" w:themeColor="text1"/>
          <w:sz w:val="24"/>
          <w:szCs w:val="24"/>
          <w:lang w:val="en-GB"/>
        </w:rPr>
      </w:pPr>
      <w:r w:rsidRPr="004046E6">
        <w:rPr>
          <w:rFonts w:ascii="Times New Roman" w:hAnsi="Times New Roman" w:cs="Times New Roman"/>
          <w:b/>
          <w:i/>
          <w:color w:val="000000" w:themeColor="text1"/>
          <w:sz w:val="24"/>
          <w:szCs w:val="24"/>
          <w:lang w:val="en-GB"/>
        </w:rPr>
        <w:t>Qualifications and skills</w:t>
      </w:r>
      <w:r w:rsidRPr="004046E6">
        <w:rPr>
          <w:rFonts w:ascii="Times New Roman" w:hAnsi="Times New Roman" w:cs="Times New Roman"/>
          <w:color w:val="000000" w:themeColor="text1"/>
          <w:sz w:val="24"/>
          <w:szCs w:val="24"/>
          <w:lang w:val="en-GB"/>
        </w:rPr>
        <w:t>:</w:t>
      </w:r>
    </w:p>
    <w:p w14:paraId="70A4C39E" w14:textId="77777777" w:rsidR="000F328E" w:rsidRPr="004046E6" w:rsidRDefault="000F328E" w:rsidP="000F328E">
      <w:pPr>
        <w:widowControl w:val="0"/>
        <w:numPr>
          <w:ilvl w:val="0"/>
          <w:numId w:val="5"/>
        </w:numPr>
        <w:autoSpaceDE w:val="0"/>
        <w:autoSpaceDN w:val="0"/>
        <w:spacing w:after="0" w:line="240" w:lineRule="auto"/>
        <w:jc w:val="both"/>
        <w:rPr>
          <w:rFonts w:ascii="Times New Roman" w:eastAsia="Times New Roman" w:hAnsi="Times New Roman" w:cs="Times New Roman"/>
          <w:sz w:val="24"/>
          <w:szCs w:val="24"/>
          <w:lang w:val="en-GB" w:eastAsia="ru-RU" w:bidi="ru-RU"/>
        </w:rPr>
      </w:pPr>
      <w:r w:rsidRPr="004046E6">
        <w:rPr>
          <w:rFonts w:ascii="Times New Roman" w:eastAsia="Times New Roman" w:hAnsi="Times New Roman" w:cs="Times New Roman"/>
          <w:sz w:val="24"/>
          <w:szCs w:val="24"/>
          <w:lang w:val="en-GB" w:eastAsia="ru-RU" w:bidi="ru-RU"/>
        </w:rPr>
        <w:t xml:space="preserve">Master’s degree in law or equivalent diploma in law. </w:t>
      </w:r>
      <w:r w:rsidRPr="004046E6">
        <w:rPr>
          <w:rFonts w:ascii="Times New Roman" w:eastAsia="Arial" w:hAnsi="Times New Roman" w:cs="Times New Roman"/>
          <w:sz w:val="24"/>
          <w:szCs w:val="24"/>
          <w:lang w:val="en-GB" w:eastAsia="ru-RU" w:bidi="ru-RU"/>
        </w:rPr>
        <w:t xml:space="preserve">A master degree in other areas listed in section 2.2, together with: a) minimum 5 years of experience in legal advice or legal research and b) in addition to years required under professional experience, can be considered. </w:t>
      </w:r>
      <w:r w:rsidRPr="004046E6">
        <w:rPr>
          <w:rFonts w:ascii="Times New Roman" w:eastAsia="Times New Roman" w:hAnsi="Times New Roman" w:cs="Times New Roman"/>
          <w:sz w:val="24"/>
          <w:szCs w:val="24"/>
          <w:lang w:val="en-GB" w:eastAsia="ru-RU" w:bidi="ru-RU"/>
        </w:rPr>
        <w:t xml:space="preserve"> </w:t>
      </w:r>
    </w:p>
    <w:p w14:paraId="7BF1667A" w14:textId="77777777" w:rsidR="000F328E" w:rsidRPr="004046E6" w:rsidRDefault="000F328E" w:rsidP="000F328E">
      <w:pPr>
        <w:widowControl w:val="0"/>
        <w:numPr>
          <w:ilvl w:val="0"/>
          <w:numId w:val="5"/>
        </w:numPr>
        <w:autoSpaceDE w:val="0"/>
        <w:autoSpaceDN w:val="0"/>
        <w:spacing w:after="0" w:line="240" w:lineRule="auto"/>
        <w:rPr>
          <w:rFonts w:ascii="Times New Roman" w:eastAsia="Times New Roman" w:hAnsi="Times New Roman" w:cs="Times New Roman"/>
          <w:sz w:val="24"/>
          <w:szCs w:val="24"/>
          <w:lang w:val="en-US" w:eastAsia="ru-RU" w:bidi="ru-RU"/>
        </w:rPr>
      </w:pPr>
      <w:r w:rsidRPr="004046E6">
        <w:rPr>
          <w:rFonts w:ascii="Times New Roman" w:eastAsia="Times New Roman" w:hAnsi="Times New Roman" w:cs="Times New Roman"/>
          <w:sz w:val="24"/>
          <w:szCs w:val="24"/>
          <w:lang w:val="en-US" w:eastAsia="ru-RU" w:bidi="ru-RU"/>
        </w:rPr>
        <w:t>Ukrainian – proficient, English – intermediate or higher.</w:t>
      </w:r>
    </w:p>
    <w:p w14:paraId="76F54DAE" w14:textId="77777777" w:rsidR="000F328E" w:rsidRPr="004046E6" w:rsidRDefault="000F328E" w:rsidP="000F328E">
      <w:pPr>
        <w:spacing w:after="0" w:line="240" w:lineRule="auto"/>
        <w:ind w:left="720"/>
        <w:jc w:val="both"/>
        <w:rPr>
          <w:rFonts w:ascii="Times New Roman" w:hAnsi="Times New Roman" w:cs="Times New Roman"/>
          <w:color w:val="000000" w:themeColor="text1"/>
          <w:sz w:val="24"/>
          <w:szCs w:val="24"/>
          <w:lang w:val="en-US"/>
        </w:rPr>
      </w:pPr>
    </w:p>
    <w:p w14:paraId="3BB1F3B0" w14:textId="77777777" w:rsidR="000F328E" w:rsidRPr="004046E6" w:rsidRDefault="000F328E" w:rsidP="000F328E">
      <w:pPr>
        <w:pStyle w:val="a3"/>
        <w:numPr>
          <w:ilvl w:val="1"/>
          <w:numId w:val="11"/>
        </w:numPr>
        <w:spacing w:after="0" w:line="240" w:lineRule="auto"/>
        <w:contextualSpacing w:val="0"/>
        <w:jc w:val="both"/>
        <w:rPr>
          <w:rFonts w:ascii="Times New Roman" w:hAnsi="Times New Roman" w:cs="Times New Roman"/>
          <w:color w:val="000000" w:themeColor="text1"/>
          <w:sz w:val="24"/>
          <w:szCs w:val="24"/>
          <w:lang w:val="en-GB"/>
        </w:rPr>
      </w:pPr>
      <w:r w:rsidRPr="004046E6">
        <w:rPr>
          <w:rFonts w:ascii="Times New Roman" w:hAnsi="Times New Roman" w:cs="Times New Roman"/>
          <w:b/>
          <w:i/>
          <w:color w:val="000000" w:themeColor="text1"/>
          <w:sz w:val="24"/>
          <w:szCs w:val="24"/>
          <w:lang w:val="en-GB"/>
        </w:rPr>
        <w:t>Professional experience:</w:t>
      </w:r>
    </w:p>
    <w:p w14:paraId="34DE7AEF" w14:textId="77777777" w:rsidR="000F328E" w:rsidRPr="004046E6" w:rsidRDefault="000F328E" w:rsidP="000F328E">
      <w:pPr>
        <w:widowControl w:val="0"/>
        <w:numPr>
          <w:ilvl w:val="0"/>
          <w:numId w:val="6"/>
        </w:numPr>
        <w:pBdr>
          <w:top w:val="nil"/>
          <w:left w:val="nil"/>
          <w:bottom w:val="nil"/>
          <w:right w:val="nil"/>
          <w:between w:val="nil"/>
        </w:pBdr>
        <w:autoSpaceDE w:val="0"/>
        <w:autoSpaceDN w:val="0"/>
        <w:spacing w:after="0" w:line="240" w:lineRule="auto"/>
        <w:jc w:val="both"/>
        <w:rPr>
          <w:rFonts w:ascii="Times New Roman" w:eastAsia="Times New Roman" w:hAnsi="Times New Roman" w:cs="Times New Roman"/>
          <w:b/>
          <w:sz w:val="24"/>
          <w:szCs w:val="24"/>
          <w:lang w:val="en-US" w:eastAsia="ru-RU" w:bidi="ru-RU"/>
        </w:rPr>
      </w:pPr>
      <w:r w:rsidRPr="004046E6">
        <w:rPr>
          <w:rFonts w:ascii="Times New Roman" w:eastAsia="Times New Roman" w:hAnsi="Times New Roman" w:cs="Times New Roman"/>
          <w:b/>
          <w:sz w:val="24"/>
          <w:szCs w:val="24"/>
          <w:lang w:val="en-US" w:eastAsia="ru-RU" w:bidi="ru-RU"/>
        </w:rPr>
        <w:t>Minimum 5 years</w:t>
      </w:r>
      <w:r w:rsidRPr="004046E6">
        <w:rPr>
          <w:rFonts w:ascii="Times New Roman" w:eastAsia="Times New Roman" w:hAnsi="Times New Roman" w:cs="Times New Roman"/>
          <w:sz w:val="24"/>
          <w:szCs w:val="24"/>
          <w:lang w:val="en-US" w:eastAsia="ru-RU" w:bidi="ru-RU"/>
        </w:rPr>
        <w:t xml:space="preserve"> of general professional experience in legislative and policy-making/or legal advice and/or legal research in Ukraine (legal drafting, legal enforcement, regulatory analysis, compliance checks, policy implementation, policy evaluation, academic research etc.). </w:t>
      </w:r>
      <w:r w:rsidRPr="004046E6">
        <w:rPr>
          <w:rFonts w:ascii="Times New Roman" w:eastAsia="Times New Roman" w:hAnsi="Times New Roman" w:cs="Times New Roman"/>
          <w:b/>
          <w:sz w:val="24"/>
          <w:szCs w:val="24"/>
          <w:lang w:val="en-US" w:eastAsia="ru-RU" w:bidi="ru-RU"/>
        </w:rPr>
        <w:t xml:space="preserve">Professional experience is calculated as of the date of receipt of the diploma </w:t>
      </w:r>
      <w:r w:rsidRPr="004046E6">
        <w:rPr>
          <w:rFonts w:ascii="Times New Roman" w:eastAsia="Times New Roman" w:hAnsi="Times New Roman" w:cs="Times New Roman"/>
          <w:sz w:val="24"/>
          <w:szCs w:val="24"/>
          <w:lang w:val="en-US" w:eastAsia="ru-RU" w:bidi="ru-RU"/>
        </w:rPr>
        <w:t xml:space="preserve">required in </w:t>
      </w:r>
      <w:r>
        <w:rPr>
          <w:rFonts w:ascii="Times New Roman" w:eastAsia="Times New Roman" w:hAnsi="Times New Roman" w:cs="Times New Roman"/>
          <w:sz w:val="24"/>
          <w:szCs w:val="24"/>
          <w:lang w:val="en-US" w:eastAsia="ru-RU" w:bidi="ru-RU"/>
        </w:rPr>
        <w:t>section 5</w:t>
      </w:r>
      <w:r w:rsidRPr="004046E6">
        <w:rPr>
          <w:rFonts w:ascii="Times New Roman" w:eastAsia="Times New Roman" w:hAnsi="Times New Roman" w:cs="Times New Roman"/>
          <w:sz w:val="24"/>
          <w:szCs w:val="24"/>
          <w:lang w:val="en-US" w:eastAsia="ru-RU" w:bidi="ru-RU"/>
        </w:rPr>
        <w:t>.1 above</w:t>
      </w:r>
      <w:r w:rsidRPr="004046E6">
        <w:rPr>
          <w:rFonts w:ascii="Times New Roman" w:eastAsia="Times New Roman" w:hAnsi="Times New Roman" w:cs="Times New Roman"/>
          <w:b/>
          <w:sz w:val="24"/>
          <w:szCs w:val="24"/>
          <w:lang w:val="en-US" w:eastAsia="ru-RU" w:bidi="ru-RU"/>
        </w:rPr>
        <w:t xml:space="preserve">. </w:t>
      </w:r>
    </w:p>
    <w:p w14:paraId="561EEE0D" w14:textId="77777777" w:rsidR="000F328E" w:rsidRPr="004046E6" w:rsidRDefault="000F328E" w:rsidP="000F328E">
      <w:pPr>
        <w:widowControl w:val="0"/>
        <w:numPr>
          <w:ilvl w:val="0"/>
          <w:numId w:val="6"/>
        </w:numPr>
        <w:pBdr>
          <w:top w:val="nil"/>
          <w:left w:val="nil"/>
          <w:bottom w:val="nil"/>
          <w:right w:val="nil"/>
          <w:between w:val="nil"/>
        </w:pBdr>
        <w:autoSpaceDE w:val="0"/>
        <w:autoSpaceDN w:val="0"/>
        <w:spacing w:after="0" w:line="240" w:lineRule="auto"/>
        <w:jc w:val="both"/>
        <w:rPr>
          <w:rFonts w:ascii="Times New Roman" w:eastAsia="Times New Roman" w:hAnsi="Times New Roman" w:cs="Times New Roman"/>
          <w:sz w:val="24"/>
          <w:szCs w:val="24"/>
          <w:lang w:val="en-US" w:eastAsia="ru-RU" w:bidi="ru-RU"/>
        </w:rPr>
      </w:pPr>
      <w:r w:rsidRPr="004046E6">
        <w:rPr>
          <w:rFonts w:ascii="Times New Roman" w:eastAsia="Times New Roman" w:hAnsi="Times New Roman" w:cs="Times New Roman"/>
          <w:b/>
          <w:sz w:val="24"/>
          <w:szCs w:val="24"/>
          <w:lang w:val="en-US" w:eastAsia="ru-RU" w:bidi="ru-RU"/>
        </w:rPr>
        <w:t>At least 3 years</w:t>
      </w:r>
      <w:r w:rsidRPr="004046E6">
        <w:rPr>
          <w:rFonts w:ascii="Times New Roman" w:eastAsia="Times New Roman" w:hAnsi="Times New Roman" w:cs="Times New Roman"/>
          <w:sz w:val="24"/>
          <w:szCs w:val="24"/>
          <w:lang w:val="en-US" w:eastAsia="ru-RU" w:bidi="ru-RU"/>
        </w:rPr>
        <w:t xml:space="preserve"> of relevant professional experience related to EU law and legal approximation of Ukrainian legislation to EU acquis and/or related to </w:t>
      </w:r>
      <w:r>
        <w:rPr>
          <w:rFonts w:ascii="Times New Roman" w:eastAsia="Times New Roman" w:hAnsi="Times New Roman" w:cs="Times New Roman"/>
          <w:sz w:val="24"/>
          <w:szCs w:val="24"/>
          <w:lang w:val="en-US" w:eastAsia="ru-RU" w:bidi="ru-RU"/>
        </w:rPr>
        <w:t>Social</w:t>
      </w:r>
      <w:r w:rsidRPr="004046E6">
        <w:rPr>
          <w:rFonts w:ascii="Times New Roman" w:eastAsia="Times New Roman" w:hAnsi="Times New Roman" w:cs="Times New Roman"/>
          <w:sz w:val="24"/>
          <w:szCs w:val="24"/>
          <w:lang w:val="en-US" w:eastAsia="ru-RU" w:bidi="ru-RU"/>
        </w:rPr>
        <w:t xml:space="preserve"> policy</w:t>
      </w:r>
      <w:r>
        <w:rPr>
          <w:rFonts w:ascii="Times New Roman" w:eastAsia="Times New Roman" w:hAnsi="Times New Roman" w:cs="Times New Roman"/>
          <w:b/>
          <w:sz w:val="24"/>
          <w:szCs w:val="24"/>
          <w:lang w:val="en-US" w:eastAsia="ru-RU" w:bidi="ru-RU"/>
        </w:rPr>
        <w:t xml:space="preserve"> </w:t>
      </w:r>
      <w:r w:rsidRPr="007C54E3">
        <w:rPr>
          <w:rFonts w:ascii="Times New Roman" w:eastAsia="Times New Roman" w:hAnsi="Times New Roman" w:cs="Times New Roman"/>
          <w:sz w:val="24"/>
          <w:szCs w:val="24"/>
          <w:lang w:val="en-US" w:eastAsia="ru-RU" w:bidi="ru-RU"/>
        </w:rPr>
        <w:t>and Employment</w:t>
      </w:r>
      <w:r w:rsidRPr="00D6623D">
        <w:rPr>
          <w:rFonts w:ascii="Times New Roman" w:eastAsia="Arial" w:hAnsi="Times New Roman" w:cs="Times New Roman"/>
          <w:sz w:val="24"/>
          <w:szCs w:val="24"/>
          <w:lang w:val="en-US" w:eastAsia="ru-RU" w:bidi="ru-RU"/>
        </w:rPr>
        <w:t>/Freedom of Movement for Workers</w:t>
      </w:r>
      <w:r>
        <w:rPr>
          <w:rFonts w:ascii="Times New Roman" w:eastAsia="Arial" w:hAnsi="Times New Roman" w:cs="Times New Roman"/>
          <w:sz w:val="24"/>
          <w:szCs w:val="24"/>
          <w:lang w:val="en-US" w:eastAsia="ru-RU" w:bidi="ru-RU"/>
        </w:rPr>
        <w:t xml:space="preserve"> area</w:t>
      </w:r>
      <w:r w:rsidRPr="007C54E3">
        <w:rPr>
          <w:rFonts w:ascii="Times New Roman" w:eastAsia="Times New Roman" w:hAnsi="Times New Roman" w:cs="Times New Roman"/>
          <w:sz w:val="24"/>
          <w:szCs w:val="24"/>
          <w:lang w:val="en-US" w:eastAsia="ru-RU" w:bidi="ru-RU"/>
        </w:rPr>
        <w:t>.</w:t>
      </w:r>
    </w:p>
    <w:p w14:paraId="7B9F50A5" w14:textId="77777777" w:rsidR="000F328E" w:rsidRPr="004046E6" w:rsidRDefault="000F328E" w:rsidP="000F328E">
      <w:pPr>
        <w:widowControl w:val="0"/>
        <w:numPr>
          <w:ilvl w:val="0"/>
          <w:numId w:val="6"/>
        </w:numPr>
        <w:pBdr>
          <w:top w:val="nil"/>
          <w:left w:val="nil"/>
          <w:bottom w:val="nil"/>
          <w:right w:val="nil"/>
          <w:between w:val="nil"/>
        </w:pBdr>
        <w:autoSpaceDE w:val="0"/>
        <w:autoSpaceDN w:val="0"/>
        <w:spacing w:after="0" w:line="240" w:lineRule="auto"/>
        <w:jc w:val="both"/>
        <w:rPr>
          <w:rFonts w:ascii="Times New Roman" w:eastAsia="Times New Roman" w:hAnsi="Times New Roman" w:cs="Times New Roman"/>
          <w:sz w:val="24"/>
          <w:szCs w:val="24"/>
          <w:lang w:val="en-US" w:eastAsia="ru-RU" w:bidi="ru-RU"/>
        </w:rPr>
      </w:pPr>
      <w:r w:rsidRPr="004046E6">
        <w:rPr>
          <w:rFonts w:ascii="Times New Roman" w:eastAsia="Times New Roman" w:hAnsi="Times New Roman" w:cs="Times New Roman"/>
          <w:sz w:val="24"/>
          <w:szCs w:val="24"/>
          <w:lang w:val="en-US" w:eastAsia="ru-RU" w:bidi="ru-RU"/>
        </w:rPr>
        <w:t>Understating of VRU’s internal processes, legislative procedure and operational mechanisms will be considered as an advantage.</w:t>
      </w:r>
    </w:p>
    <w:p w14:paraId="29E5C7AC" w14:textId="77777777" w:rsidR="000F328E" w:rsidRPr="004046E6" w:rsidRDefault="000F328E" w:rsidP="000F328E">
      <w:pPr>
        <w:pStyle w:val="a3"/>
        <w:widowControl w:val="0"/>
        <w:numPr>
          <w:ilvl w:val="0"/>
          <w:numId w:val="6"/>
        </w:numPr>
        <w:pBdr>
          <w:top w:val="nil"/>
          <w:left w:val="nil"/>
          <w:bottom w:val="nil"/>
          <w:right w:val="nil"/>
          <w:between w:val="nil"/>
        </w:pBdr>
        <w:autoSpaceDE w:val="0"/>
        <w:autoSpaceDN w:val="0"/>
        <w:spacing w:after="0" w:line="240" w:lineRule="auto"/>
        <w:jc w:val="both"/>
        <w:rPr>
          <w:rFonts w:ascii="Times New Roman" w:eastAsia="Times New Roman" w:hAnsi="Times New Roman" w:cs="Times New Roman"/>
          <w:sz w:val="24"/>
          <w:szCs w:val="24"/>
          <w:lang w:eastAsia="ru-RU" w:bidi="ru-RU"/>
        </w:rPr>
      </w:pPr>
      <w:r w:rsidRPr="004046E6">
        <w:rPr>
          <w:rFonts w:ascii="Times New Roman" w:eastAsia="Times New Roman" w:hAnsi="Times New Roman" w:cs="Times New Roman"/>
          <w:sz w:val="24"/>
          <w:szCs w:val="24"/>
          <w:lang w:eastAsia="ru-RU" w:bidi="ru-RU"/>
        </w:rPr>
        <w:t>Knowledge of the EU acquis chapter in</w:t>
      </w:r>
      <w:r w:rsidRPr="004046E6">
        <w:rPr>
          <w:rFonts w:ascii="Times New Roman" w:eastAsia="Arial" w:hAnsi="Times New Roman" w:cs="Times New Roman"/>
          <w:sz w:val="24"/>
          <w:szCs w:val="24"/>
          <w:lang w:val="en-GB" w:eastAsia="ru-RU" w:bidi="ru-RU"/>
        </w:rPr>
        <w:t xml:space="preserve"> </w:t>
      </w:r>
      <w:r w:rsidRPr="00D6623D">
        <w:rPr>
          <w:rFonts w:ascii="Times New Roman" w:eastAsia="Times New Roman" w:hAnsi="Times New Roman" w:cs="Times New Roman"/>
          <w:sz w:val="24"/>
          <w:szCs w:val="24"/>
          <w:lang w:eastAsia="ru-RU" w:bidi="ru-RU"/>
        </w:rPr>
        <w:t>in</w:t>
      </w:r>
      <w:r w:rsidRPr="00D6623D">
        <w:rPr>
          <w:rFonts w:ascii="Times New Roman" w:eastAsia="Arial" w:hAnsi="Times New Roman" w:cs="Times New Roman"/>
          <w:sz w:val="24"/>
          <w:szCs w:val="24"/>
          <w:lang w:val="en-GB" w:eastAsia="ru-RU" w:bidi="ru-RU"/>
        </w:rPr>
        <w:t xml:space="preserve"> </w:t>
      </w:r>
      <w:r w:rsidRPr="00D6623D">
        <w:rPr>
          <w:rFonts w:ascii="Times New Roman" w:eastAsia="Arial" w:hAnsi="Times New Roman" w:cs="Times New Roman"/>
          <w:sz w:val="24"/>
          <w:szCs w:val="24"/>
          <w:lang w:eastAsia="ru-RU" w:bidi="ru-RU"/>
        </w:rPr>
        <w:t>Social Policy and Employment (Freedom of Movement for Workers)</w:t>
      </w:r>
      <w:r w:rsidRPr="00D6623D" w:rsidDel="007B6CF2">
        <w:rPr>
          <w:rFonts w:ascii="Times New Roman" w:eastAsia="Arial" w:hAnsi="Times New Roman" w:cs="Times New Roman"/>
          <w:sz w:val="24"/>
          <w:szCs w:val="24"/>
          <w:lang w:val="en-GB" w:eastAsia="ru-RU" w:bidi="ru-RU"/>
        </w:rPr>
        <w:t xml:space="preserve"> </w:t>
      </w:r>
      <w:r w:rsidRPr="00D6623D">
        <w:rPr>
          <w:rFonts w:ascii="Times New Roman" w:eastAsia="Arial" w:hAnsi="Times New Roman" w:cs="Times New Roman"/>
          <w:sz w:val="24"/>
          <w:szCs w:val="24"/>
          <w:lang w:val="en-GB" w:eastAsia="ru-RU" w:bidi="ru-RU"/>
        </w:rPr>
        <w:t>area</w:t>
      </w:r>
      <w:r w:rsidRPr="00D6623D">
        <w:rPr>
          <w:rStyle w:val="a7"/>
          <w:rFonts w:ascii="Times New Roman" w:eastAsia="Arial" w:hAnsi="Times New Roman" w:cs="Times New Roman"/>
          <w:sz w:val="24"/>
          <w:szCs w:val="24"/>
          <w:lang w:val="en-GB" w:eastAsia="ru-RU" w:bidi="ru-RU"/>
        </w:rPr>
        <w:footnoteReference w:id="4"/>
      </w:r>
      <w:r w:rsidRPr="00D6623D">
        <w:rPr>
          <w:rFonts w:ascii="Times New Roman" w:eastAsia="Arial" w:hAnsi="Times New Roman" w:cs="Times New Roman"/>
          <w:sz w:val="24"/>
          <w:szCs w:val="24"/>
          <w:lang w:eastAsia="ru-RU" w:bidi="ru-RU"/>
        </w:rPr>
        <w:t xml:space="preserve"> will be considered as an advantage</w:t>
      </w:r>
      <w:r w:rsidRPr="004046E6">
        <w:rPr>
          <w:rFonts w:ascii="Times New Roman" w:eastAsia="Arial" w:hAnsi="Times New Roman" w:cs="Times New Roman"/>
          <w:sz w:val="24"/>
          <w:szCs w:val="24"/>
          <w:lang w:val="en-GB" w:eastAsia="ru-RU" w:bidi="ru-RU"/>
        </w:rPr>
        <w:t>.</w:t>
      </w:r>
    </w:p>
    <w:p w14:paraId="6F29E387" w14:textId="77777777" w:rsidR="000F328E" w:rsidRPr="004046E6" w:rsidRDefault="000F328E" w:rsidP="000F328E">
      <w:pPr>
        <w:pStyle w:val="a3"/>
        <w:widowControl w:val="0"/>
        <w:numPr>
          <w:ilvl w:val="0"/>
          <w:numId w:val="6"/>
        </w:numPr>
        <w:pBdr>
          <w:top w:val="nil"/>
          <w:left w:val="nil"/>
          <w:bottom w:val="nil"/>
          <w:right w:val="nil"/>
          <w:between w:val="nil"/>
        </w:pBdr>
        <w:autoSpaceDE w:val="0"/>
        <w:autoSpaceDN w:val="0"/>
        <w:spacing w:after="0" w:line="240" w:lineRule="auto"/>
        <w:jc w:val="both"/>
        <w:rPr>
          <w:rFonts w:ascii="Times New Roman" w:eastAsia="Times New Roman" w:hAnsi="Times New Roman" w:cs="Times New Roman"/>
          <w:sz w:val="24"/>
          <w:szCs w:val="24"/>
          <w:lang w:eastAsia="ru-RU" w:bidi="ru-RU"/>
        </w:rPr>
      </w:pPr>
      <w:r w:rsidRPr="004046E6">
        <w:rPr>
          <w:rFonts w:ascii="Times New Roman" w:eastAsia="Times New Roman" w:hAnsi="Times New Roman" w:cs="Times New Roman"/>
          <w:sz w:val="24"/>
          <w:szCs w:val="24"/>
          <w:lang w:eastAsia="ru-RU" w:bidi="ru-RU"/>
        </w:rPr>
        <w:t>Experience in drafting legal or procedural documents</w:t>
      </w:r>
      <w:r w:rsidRPr="004046E6">
        <w:rPr>
          <w:rFonts w:ascii="Times New Roman" w:eastAsia="Arial" w:hAnsi="Times New Roman" w:cs="Times New Roman"/>
          <w:sz w:val="24"/>
          <w:szCs w:val="24"/>
          <w:lang w:eastAsia="ru-RU" w:bidi="ru-RU"/>
        </w:rPr>
        <w:t xml:space="preserve"> </w:t>
      </w:r>
      <w:r w:rsidRPr="004046E6">
        <w:rPr>
          <w:rFonts w:ascii="Times New Roman" w:eastAsia="Times New Roman" w:hAnsi="Times New Roman" w:cs="Times New Roman"/>
          <w:sz w:val="24"/>
          <w:szCs w:val="24"/>
          <w:lang w:eastAsia="ru-RU" w:bidi="ru-RU"/>
        </w:rPr>
        <w:t>will be considered as an advantage.</w:t>
      </w:r>
    </w:p>
    <w:p w14:paraId="350AAE46" w14:textId="77777777" w:rsidR="000F328E" w:rsidRPr="004046E6" w:rsidRDefault="000F328E" w:rsidP="000F328E">
      <w:pPr>
        <w:tabs>
          <w:tab w:val="left" w:pos="1985"/>
        </w:tabs>
        <w:spacing w:after="0" w:line="240" w:lineRule="auto"/>
        <w:ind w:left="720"/>
        <w:jc w:val="both"/>
        <w:rPr>
          <w:rFonts w:ascii="Times New Roman" w:hAnsi="Times New Roman" w:cs="Times New Roman"/>
          <w:bCs/>
          <w:iCs/>
          <w:color w:val="000000" w:themeColor="text1"/>
          <w:sz w:val="24"/>
          <w:szCs w:val="24"/>
          <w:lang w:val="en-US"/>
        </w:rPr>
      </w:pPr>
    </w:p>
    <w:p w14:paraId="75CC938F" w14:textId="77777777" w:rsidR="000F328E" w:rsidRPr="004046E6" w:rsidRDefault="000F328E" w:rsidP="000F328E">
      <w:pPr>
        <w:pStyle w:val="a3"/>
        <w:numPr>
          <w:ilvl w:val="1"/>
          <w:numId w:val="11"/>
        </w:numPr>
        <w:tabs>
          <w:tab w:val="left" w:pos="1985"/>
        </w:tabs>
        <w:spacing w:after="0" w:line="240" w:lineRule="auto"/>
        <w:contextualSpacing w:val="0"/>
        <w:jc w:val="both"/>
        <w:rPr>
          <w:rFonts w:ascii="Times New Roman" w:hAnsi="Times New Roman" w:cs="Times New Roman"/>
          <w:bCs/>
          <w:iCs/>
          <w:color w:val="000000" w:themeColor="text1"/>
          <w:sz w:val="24"/>
          <w:szCs w:val="24"/>
          <w:lang w:val="en-GB"/>
        </w:rPr>
      </w:pPr>
      <w:r w:rsidRPr="004046E6">
        <w:rPr>
          <w:rFonts w:ascii="Times New Roman" w:hAnsi="Times New Roman" w:cs="Times New Roman"/>
          <w:b/>
          <w:i/>
          <w:color w:val="000000" w:themeColor="text1"/>
          <w:sz w:val="24"/>
          <w:szCs w:val="24"/>
          <w:lang w:val="en-GB"/>
        </w:rPr>
        <w:t>Other competencies:</w:t>
      </w:r>
    </w:p>
    <w:p w14:paraId="4445D6E0" w14:textId="77777777" w:rsidR="000F328E" w:rsidRPr="004046E6" w:rsidRDefault="000F328E" w:rsidP="000F328E">
      <w:pPr>
        <w:widowControl w:val="0"/>
        <w:numPr>
          <w:ilvl w:val="0"/>
          <w:numId w:val="7"/>
        </w:numPr>
        <w:pBdr>
          <w:top w:val="nil"/>
          <w:left w:val="nil"/>
          <w:bottom w:val="nil"/>
          <w:right w:val="nil"/>
          <w:between w:val="nil"/>
        </w:pBdr>
        <w:autoSpaceDE w:val="0"/>
        <w:autoSpaceDN w:val="0"/>
        <w:spacing w:after="0" w:line="240" w:lineRule="auto"/>
        <w:jc w:val="both"/>
        <w:rPr>
          <w:rFonts w:ascii="Times New Roman" w:eastAsia="Times New Roman" w:hAnsi="Times New Roman" w:cs="Times New Roman"/>
          <w:sz w:val="24"/>
          <w:szCs w:val="24"/>
          <w:lang w:val="en-US" w:eastAsia="ru-RU" w:bidi="ru-RU"/>
        </w:rPr>
      </w:pPr>
      <w:r w:rsidRPr="004046E6">
        <w:rPr>
          <w:rFonts w:ascii="Times New Roman" w:eastAsia="Times New Roman" w:hAnsi="Times New Roman" w:cs="Times New Roman"/>
          <w:sz w:val="24"/>
          <w:szCs w:val="24"/>
          <w:lang w:val="en-US" w:eastAsia="ru-RU" w:bidi="ru-RU"/>
        </w:rPr>
        <w:t>Proven work experience in coordinating and supporting the formulation and development of policies, procedures and guidance, requiring effective facilitation and consensus-building skills will be considered as an advantage.</w:t>
      </w:r>
    </w:p>
    <w:p w14:paraId="46512804" w14:textId="77777777" w:rsidR="000F328E" w:rsidRPr="004046E6" w:rsidRDefault="000F328E" w:rsidP="000F328E">
      <w:pPr>
        <w:widowControl w:val="0"/>
        <w:numPr>
          <w:ilvl w:val="0"/>
          <w:numId w:val="7"/>
        </w:numPr>
        <w:pBdr>
          <w:top w:val="nil"/>
          <w:left w:val="nil"/>
          <w:bottom w:val="nil"/>
          <w:right w:val="nil"/>
          <w:between w:val="nil"/>
        </w:pBdr>
        <w:autoSpaceDE w:val="0"/>
        <w:autoSpaceDN w:val="0"/>
        <w:spacing w:after="0" w:line="240" w:lineRule="auto"/>
        <w:jc w:val="both"/>
        <w:rPr>
          <w:rFonts w:ascii="Times New Roman" w:eastAsia="Times New Roman" w:hAnsi="Times New Roman" w:cs="Times New Roman"/>
          <w:sz w:val="24"/>
          <w:szCs w:val="24"/>
          <w:lang w:val="en-US" w:eastAsia="ru-RU" w:bidi="ru-RU"/>
        </w:rPr>
      </w:pPr>
      <w:r w:rsidRPr="004046E6">
        <w:rPr>
          <w:rFonts w:ascii="Times New Roman" w:eastAsia="Times New Roman" w:hAnsi="Times New Roman" w:cs="Times New Roman"/>
          <w:sz w:val="24"/>
          <w:szCs w:val="24"/>
          <w:lang w:val="en-US" w:eastAsia="ru-RU" w:bidi="ru-RU"/>
        </w:rPr>
        <w:t>Good understanding of the reform agenda in Ukraine and policy formulation processes.</w:t>
      </w:r>
    </w:p>
    <w:p w14:paraId="3278F6B9" w14:textId="77777777" w:rsidR="000F328E" w:rsidRPr="004046E6" w:rsidRDefault="000F328E" w:rsidP="000F328E">
      <w:pPr>
        <w:spacing w:after="0" w:line="240" w:lineRule="auto"/>
        <w:jc w:val="both"/>
        <w:rPr>
          <w:rFonts w:ascii="Times New Roman" w:hAnsi="Times New Roman" w:cs="Times New Roman"/>
          <w:color w:val="000000" w:themeColor="text1"/>
          <w:sz w:val="24"/>
          <w:szCs w:val="24"/>
          <w:lang w:val="en-US"/>
        </w:rPr>
      </w:pPr>
    </w:p>
    <w:p w14:paraId="659DE5CE" w14:textId="77777777" w:rsidR="000F328E" w:rsidRPr="004046E6" w:rsidRDefault="000F328E" w:rsidP="000F328E">
      <w:pPr>
        <w:pStyle w:val="a3"/>
        <w:numPr>
          <w:ilvl w:val="0"/>
          <w:numId w:val="11"/>
        </w:numPr>
        <w:spacing w:after="0" w:line="240" w:lineRule="auto"/>
        <w:ind w:left="0" w:firstLine="31"/>
        <w:contextualSpacing w:val="0"/>
        <w:jc w:val="both"/>
        <w:rPr>
          <w:rFonts w:ascii="Times New Roman" w:hAnsi="Times New Roman" w:cs="Times New Roman"/>
          <w:b/>
          <w:color w:val="000000" w:themeColor="text1"/>
          <w:sz w:val="24"/>
          <w:szCs w:val="24"/>
          <w:lang w:val="en-GB"/>
        </w:rPr>
      </w:pPr>
      <w:r w:rsidRPr="004046E6">
        <w:rPr>
          <w:rFonts w:ascii="Times New Roman" w:hAnsi="Times New Roman" w:cs="Times New Roman"/>
          <w:b/>
          <w:color w:val="000000" w:themeColor="text1"/>
          <w:sz w:val="24"/>
          <w:szCs w:val="24"/>
          <w:lang w:val="en-GB"/>
        </w:rPr>
        <w:t>Funding Source</w:t>
      </w:r>
    </w:p>
    <w:p w14:paraId="7585FE6D" w14:textId="77777777" w:rsidR="000F328E" w:rsidRPr="004046E6" w:rsidRDefault="000F328E" w:rsidP="000F328E">
      <w:pPr>
        <w:spacing w:after="0" w:line="240" w:lineRule="auto"/>
        <w:jc w:val="both"/>
        <w:rPr>
          <w:rFonts w:ascii="Times New Roman" w:hAnsi="Times New Roman" w:cs="Times New Roman"/>
          <w:bCs/>
          <w:iCs/>
          <w:color w:val="000000" w:themeColor="text1"/>
          <w:sz w:val="24"/>
          <w:szCs w:val="24"/>
          <w:lang w:val="en-GB"/>
        </w:rPr>
      </w:pPr>
      <w:r w:rsidRPr="004046E6">
        <w:rPr>
          <w:rFonts w:ascii="Times New Roman" w:hAnsi="Times New Roman" w:cs="Times New Roman"/>
          <w:bCs/>
          <w:iCs/>
          <w:color w:val="000000" w:themeColor="text1"/>
          <w:sz w:val="24"/>
          <w:szCs w:val="24"/>
          <w:lang w:val="en-GB"/>
        </w:rPr>
        <w:t>The funding source of this assignment is the EBRD Ukraine Stabilisation and Sustainable Growth Multi-Donor Account (MDA). Contributors to the MDA are Austria, Denmark, Finland, France, Germany, Italy, Japan, the Netherlands, Norway, Poland, Sweden, Switzerland, the United Kingdom, the United States and the European Union, the largest donor.</w:t>
      </w:r>
    </w:p>
    <w:p w14:paraId="307E9FB3" w14:textId="77777777" w:rsidR="000F328E" w:rsidRPr="004046E6" w:rsidRDefault="000F328E" w:rsidP="000F328E">
      <w:pPr>
        <w:spacing w:after="0" w:line="240" w:lineRule="auto"/>
        <w:jc w:val="both"/>
        <w:rPr>
          <w:rFonts w:ascii="Times New Roman" w:hAnsi="Times New Roman" w:cs="Times New Roman"/>
          <w:bCs/>
          <w:iCs/>
          <w:color w:val="000000" w:themeColor="text1"/>
          <w:sz w:val="24"/>
          <w:szCs w:val="24"/>
          <w:lang w:val="en-GB"/>
        </w:rPr>
      </w:pPr>
    </w:p>
    <w:p w14:paraId="04C15280" w14:textId="77777777" w:rsidR="000F328E" w:rsidRPr="004046E6" w:rsidRDefault="000F328E" w:rsidP="000F328E">
      <w:pPr>
        <w:spacing w:after="0" w:line="240" w:lineRule="auto"/>
        <w:jc w:val="both"/>
        <w:rPr>
          <w:rFonts w:ascii="Times New Roman" w:hAnsi="Times New Roman" w:cs="Times New Roman"/>
          <w:bCs/>
          <w:iCs/>
          <w:color w:val="000000" w:themeColor="text1"/>
          <w:sz w:val="24"/>
          <w:szCs w:val="24"/>
          <w:lang w:val="en-GB"/>
        </w:rPr>
      </w:pPr>
      <w:r w:rsidRPr="004046E6">
        <w:rPr>
          <w:rFonts w:ascii="Times New Roman" w:hAnsi="Times New Roman" w:cs="Times New Roman"/>
          <w:bCs/>
          <w:iCs/>
          <w:color w:val="000000" w:themeColor="text1"/>
          <w:sz w:val="24"/>
          <w:szCs w:val="24"/>
          <w:lang w:val="en-GB"/>
        </w:rPr>
        <w:t>Please note, selection and contracting will be subject to the availability of funding.</w:t>
      </w:r>
    </w:p>
    <w:p w14:paraId="07869C05" w14:textId="77777777" w:rsidR="000F328E" w:rsidRPr="00337F52" w:rsidRDefault="000F328E" w:rsidP="000F328E">
      <w:pPr>
        <w:spacing w:after="0" w:line="240" w:lineRule="auto"/>
        <w:jc w:val="both"/>
        <w:rPr>
          <w:rFonts w:ascii="Times New Roman" w:hAnsi="Times New Roman" w:cs="Times New Roman"/>
          <w:b/>
          <w:color w:val="000000" w:themeColor="text1"/>
          <w:sz w:val="24"/>
          <w:szCs w:val="24"/>
          <w:lang w:val="en-GB"/>
        </w:rPr>
      </w:pPr>
    </w:p>
    <w:p w14:paraId="521C230A" w14:textId="77777777" w:rsidR="000F328E" w:rsidRPr="004046E6" w:rsidRDefault="000F328E" w:rsidP="000F328E">
      <w:pPr>
        <w:pStyle w:val="a3"/>
        <w:numPr>
          <w:ilvl w:val="0"/>
          <w:numId w:val="11"/>
        </w:numPr>
        <w:spacing w:after="0" w:line="240" w:lineRule="auto"/>
        <w:ind w:left="0" w:firstLine="31"/>
        <w:contextualSpacing w:val="0"/>
        <w:jc w:val="both"/>
        <w:rPr>
          <w:rFonts w:ascii="Times New Roman" w:hAnsi="Times New Roman" w:cs="Times New Roman"/>
          <w:b/>
          <w:color w:val="000000" w:themeColor="text1"/>
          <w:sz w:val="24"/>
          <w:szCs w:val="24"/>
          <w:lang w:val="en-GB"/>
        </w:rPr>
      </w:pPr>
      <w:r w:rsidRPr="004046E6">
        <w:rPr>
          <w:rFonts w:ascii="Times New Roman" w:hAnsi="Times New Roman" w:cs="Times New Roman"/>
          <w:b/>
          <w:color w:val="000000" w:themeColor="text1"/>
          <w:sz w:val="24"/>
          <w:szCs w:val="24"/>
          <w:lang w:val="en-GB"/>
        </w:rPr>
        <w:t>Submissions</w:t>
      </w:r>
    </w:p>
    <w:p w14:paraId="1C790B74" w14:textId="3AED99D2" w:rsidR="000F328E" w:rsidRPr="004046E6" w:rsidRDefault="000F328E" w:rsidP="000F328E">
      <w:pPr>
        <w:spacing w:after="0" w:line="240" w:lineRule="auto"/>
        <w:jc w:val="both"/>
        <w:rPr>
          <w:rFonts w:ascii="Times New Roman" w:hAnsi="Times New Roman" w:cs="Times New Roman"/>
          <w:bCs/>
          <w:iCs/>
          <w:color w:val="000000" w:themeColor="text1"/>
          <w:sz w:val="24"/>
          <w:szCs w:val="24"/>
          <w:lang w:val="en-GB"/>
        </w:rPr>
      </w:pPr>
      <w:r w:rsidRPr="004046E6">
        <w:rPr>
          <w:rFonts w:ascii="Times New Roman" w:hAnsi="Times New Roman" w:cs="Times New Roman"/>
          <w:bCs/>
          <w:iCs/>
          <w:color w:val="000000" w:themeColor="text1"/>
          <w:sz w:val="24"/>
          <w:szCs w:val="24"/>
          <w:lang w:val="en-GB"/>
        </w:rPr>
        <w:t xml:space="preserve">Submissions must be prepared in English only and be delivered electronically by </w:t>
      </w:r>
      <w:r w:rsidR="00715980">
        <w:rPr>
          <w:rFonts w:ascii="Times New Roman" w:hAnsi="Times New Roman" w:cs="Times New Roman"/>
          <w:bCs/>
          <w:iCs/>
          <w:color w:val="000000" w:themeColor="text1"/>
          <w:sz w:val="24"/>
          <w:szCs w:val="24"/>
          <w:lang w:val="en-GB"/>
        </w:rPr>
        <w:t>February</w:t>
      </w:r>
      <w:r w:rsidRPr="004046E6">
        <w:rPr>
          <w:rFonts w:ascii="Times New Roman" w:hAnsi="Times New Roman" w:cs="Times New Roman"/>
          <w:bCs/>
          <w:iCs/>
          <w:color w:val="000000" w:themeColor="text1"/>
          <w:sz w:val="24"/>
          <w:szCs w:val="24"/>
          <w:lang w:val="en-GB"/>
        </w:rPr>
        <w:t xml:space="preserve"> </w:t>
      </w:r>
      <w:r w:rsidR="00715980">
        <w:rPr>
          <w:rFonts w:ascii="Times New Roman" w:hAnsi="Times New Roman" w:cs="Times New Roman"/>
          <w:bCs/>
          <w:iCs/>
          <w:color w:val="000000" w:themeColor="text1"/>
          <w:sz w:val="24"/>
          <w:szCs w:val="24"/>
          <w:lang w:val="en-GB"/>
        </w:rPr>
        <w:t>14</w:t>
      </w:r>
      <w:r w:rsidRPr="004046E6">
        <w:rPr>
          <w:rFonts w:ascii="Times New Roman" w:hAnsi="Times New Roman" w:cs="Times New Roman"/>
          <w:bCs/>
          <w:iCs/>
          <w:color w:val="000000" w:themeColor="text1"/>
          <w:sz w:val="24"/>
          <w:szCs w:val="24"/>
          <w:lang w:val="en-GB"/>
        </w:rPr>
        <w:t>, 202</w:t>
      </w:r>
      <w:r w:rsidR="00715980">
        <w:rPr>
          <w:rFonts w:ascii="Times New Roman" w:hAnsi="Times New Roman" w:cs="Times New Roman"/>
          <w:bCs/>
          <w:iCs/>
          <w:color w:val="000000" w:themeColor="text1"/>
          <w:sz w:val="24"/>
          <w:szCs w:val="24"/>
          <w:lang w:val="en-GB"/>
        </w:rPr>
        <w:t>4</w:t>
      </w:r>
      <w:r w:rsidRPr="004046E6">
        <w:rPr>
          <w:rFonts w:ascii="Times New Roman" w:hAnsi="Times New Roman" w:cs="Times New Roman"/>
          <w:bCs/>
          <w:iCs/>
          <w:color w:val="000000" w:themeColor="text1"/>
          <w:sz w:val="24"/>
          <w:szCs w:val="24"/>
          <w:lang w:val="en-GB"/>
        </w:rPr>
        <w:t xml:space="preserve"> to </w:t>
      </w:r>
      <w:r w:rsidRPr="004046E6">
        <w:rPr>
          <w:rFonts w:ascii="Times New Roman" w:hAnsi="Times New Roman" w:cs="Times New Roman"/>
          <w:bCs/>
          <w:iCs/>
          <w:sz w:val="24"/>
          <w:szCs w:val="24"/>
          <w:lang w:val="en-GB"/>
        </w:rPr>
        <w:t>recruitment.ura@gmail.com</w:t>
      </w:r>
      <w:r w:rsidRPr="004046E6">
        <w:rPr>
          <w:rFonts w:ascii="Times New Roman" w:hAnsi="Times New Roman" w:cs="Times New Roman"/>
          <w:bCs/>
          <w:iCs/>
          <w:color w:val="000000" w:themeColor="text1"/>
          <w:sz w:val="24"/>
          <w:szCs w:val="24"/>
          <w:lang w:val="en-GB"/>
        </w:rPr>
        <w:t xml:space="preserve">. </w:t>
      </w:r>
    </w:p>
    <w:p w14:paraId="6AB92C4B" w14:textId="77777777" w:rsidR="000F328E" w:rsidRPr="004046E6" w:rsidRDefault="000F328E" w:rsidP="000F328E">
      <w:pPr>
        <w:spacing w:after="0" w:line="240" w:lineRule="auto"/>
        <w:jc w:val="both"/>
        <w:rPr>
          <w:rFonts w:ascii="Times New Roman" w:hAnsi="Times New Roman" w:cs="Times New Roman"/>
          <w:bCs/>
          <w:iCs/>
          <w:color w:val="000000" w:themeColor="text1"/>
          <w:sz w:val="24"/>
          <w:szCs w:val="24"/>
          <w:lang w:val="en-GB"/>
        </w:rPr>
      </w:pPr>
      <w:r w:rsidRPr="004046E6">
        <w:rPr>
          <w:rFonts w:ascii="Times New Roman" w:hAnsi="Times New Roman" w:cs="Times New Roman"/>
          <w:bCs/>
          <w:iCs/>
          <w:color w:val="000000" w:themeColor="text1"/>
          <w:sz w:val="24"/>
          <w:szCs w:val="24"/>
          <w:lang w:val="en-GB"/>
        </w:rPr>
        <w:lastRenderedPageBreak/>
        <w:t>All submissions must include a completed Application Form, the candidate’s Curriculum Vitae, NDA Form, Motivation letter</w:t>
      </w:r>
      <w:r>
        <w:rPr>
          <w:rFonts w:ascii="Times New Roman" w:hAnsi="Times New Roman" w:cs="Times New Roman"/>
          <w:bCs/>
          <w:iCs/>
          <w:color w:val="000000" w:themeColor="text1"/>
          <w:sz w:val="24"/>
          <w:szCs w:val="24"/>
          <w:lang w:val="en-GB"/>
        </w:rPr>
        <w:t xml:space="preserve"> (should include detailed information about candidate`s </w:t>
      </w:r>
      <w:r w:rsidRPr="004046E6">
        <w:rPr>
          <w:rFonts w:ascii="Times New Roman" w:eastAsia="Times New Roman" w:hAnsi="Times New Roman" w:cs="Times New Roman"/>
          <w:sz w:val="24"/>
          <w:szCs w:val="24"/>
          <w:lang w:val="en-US" w:eastAsia="ru-RU" w:bidi="ru-RU"/>
        </w:rPr>
        <w:t xml:space="preserve">relevant professional experience related to EU law and legal approximation of Ukrainian legislation to EU acquis and/or related to </w:t>
      </w:r>
      <w:r>
        <w:rPr>
          <w:rFonts w:ascii="Times New Roman" w:eastAsia="Times New Roman" w:hAnsi="Times New Roman" w:cs="Times New Roman"/>
          <w:sz w:val="24"/>
          <w:szCs w:val="24"/>
          <w:lang w:val="en-US" w:eastAsia="ru-RU" w:bidi="ru-RU"/>
        </w:rPr>
        <w:t>Social</w:t>
      </w:r>
      <w:r w:rsidRPr="004046E6">
        <w:rPr>
          <w:rFonts w:ascii="Times New Roman" w:eastAsia="Times New Roman" w:hAnsi="Times New Roman" w:cs="Times New Roman"/>
          <w:sz w:val="24"/>
          <w:szCs w:val="24"/>
          <w:lang w:val="en-US" w:eastAsia="ru-RU" w:bidi="ru-RU"/>
        </w:rPr>
        <w:t xml:space="preserve"> policy</w:t>
      </w:r>
      <w:r>
        <w:rPr>
          <w:rFonts w:ascii="Times New Roman" w:eastAsia="Times New Roman" w:hAnsi="Times New Roman" w:cs="Times New Roman"/>
          <w:b/>
          <w:sz w:val="24"/>
          <w:szCs w:val="24"/>
          <w:lang w:val="en-US" w:eastAsia="ru-RU" w:bidi="ru-RU"/>
        </w:rPr>
        <w:t xml:space="preserve"> </w:t>
      </w:r>
      <w:r w:rsidRPr="007C54E3">
        <w:rPr>
          <w:rFonts w:ascii="Times New Roman" w:eastAsia="Times New Roman" w:hAnsi="Times New Roman" w:cs="Times New Roman"/>
          <w:sz w:val="24"/>
          <w:szCs w:val="24"/>
          <w:lang w:val="en-US" w:eastAsia="ru-RU" w:bidi="ru-RU"/>
        </w:rPr>
        <w:t>and Employment</w:t>
      </w:r>
      <w:r w:rsidRPr="00D6623D">
        <w:rPr>
          <w:rFonts w:ascii="Times New Roman" w:eastAsia="Arial" w:hAnsi="Times New Roman" w:cs="Times New Roman"/>
          <w:sz w:val="24"/>
          <w:szCs w:val="24"/>
          <w:lang w:val="en-US" w:eastAsia="ru-RU" w:bidi="ru-RU"/>
        </w:rPr>
        <w:t>/Freedom of Movement for Workers</w:t>
      </w:r>
      <w:r>
        <w:rPr>
          <w:rFonts w:ascii="Times New Roman" w:eastAsia="Arial" w:hAnsi="Times New Roman" w:cs="Times New Roman"/>
          <w:sz w:val="24"/>
          <w:szCs w:val="24"/>
          <w:lang w:val="en-US" w:eastAsia="ru-RU" w:bidi="ru-RU"/>
        </w:rPr>
        <w:t xml:space="preserve"> area)</w:t>
      </w:r>
      <w:r>
        <w:rPr>
          <w:rFonts w:ascii="Times New Roman" w:hAnsi="Times New Roman" w:cs="Times New Roman"/>
          <w:bCs/>
          <w:iCs/>
          <w:color w:val="000000" w:themeColor="text1"/>
          <w:sz w:val="24"/>
          <w:szCs w:val="24"/>
          <w:lang w:val="en-GB"/>
        </w:rPr>
        <w:t>,</w:t>
      </w:r>
      <w:r w:rsidRPr="004046E6">
        <w:rPr>
          <w:rFonts w:ascii="Times New Roman" w:hAnsi="Times New Roman" w:cs="Times New Roman"/>
          <w:bCs/>
          <w:iCs/>
          <w:color w:val="000000" w:themeColor="text1"/>
          <w:sz w:val="24"/>
          <w:szCs w:val="24"/>
          <w:lang w:val="en-GB"/>
        </w:rPr>
        <w:t xml:space="preserve"> letter of recommendation and the contact details for two further referees who, if contacted, can attest to the professional and/or educational background of the candidate. </w:t>
      </w:r>
    </w:p>
    <w:p w14:paraId="5CE51A34" w14:textId="77777777" w:rsidR="000F328E" w:rsidRPr="004046E6" w:rsidRDefault="000F328E" w:rsidP="000F328E">
      <w:pPr>
        <w:tabs>
          <w:tab w:val="left" w:pos="1985"/>
        </w:tabs>
        <w:spacing w:after="0" w:line="240" w:lineRule="auto"/>
        <w:jc w:val="both"/>
        <w:rPr>
          <w:rFonts w:ascii="Times New Roman" w:hAnsi="Times New Roman" w:cs="Times New Roman"/>
          <w:bCs/>
          <w:iCs/>
          <w:color w:val="000000" w:themeColor="text1"/>
          <w:sz w:val="24"/>
          <w:szCs w:val="24"/>
          <w:lang w:val="en-GB"/>
        </w:rPr>
      </w:pPr>
    </w:p>
    <w:p w14:paraId="5C2B1860" w14:textId="77777777" w:rsidR="000F328E" w:rsidRPr="004046E6" w:rsidRDefault="000F328E" w:rsidP="000F328E">
      <w:pPr>
        <w:tabs>
          <w:tab w:val="left" w:pos="1985"/>
        </w:tabs>
        <w:spacing w:after="0" w:line="240" w:lineRule="auto"/>
        <w:jc w:val="both"/>
        <w:rPr>
          <w:rFonts w:ascii="Times New Roman" w:hAnsi="Times New Roman" w:cs="Times New Roman"/>
          <w:bCs/>
          <w:iCs/>
          <w:color w:val="000000" w:themeColor="text1"/>
          <w:sz w:val="24"/>
          <w:szCs w:val="24"/>
          <w:lang w:val="en-GB"/>
        </w:rPr>
      </w:pPr>
      <w:r w:rsidRPr="004046E6">
        <w:rPr>
          <w:rFonts w:ascii="Times New Roman" w:hAnsi="Times New Roman" w:cs="Times New Roman"/>
          <w:bCs/>
          <w:iCs/>
          <w:color w:val="000000" w:themeColor="text1"/>
          <w:sz w:val="24"/>
          <w:szCs w:val="24"/>
          <w:lang w:val="en-GB"/>
        </w:rPr>
        <w:t xml:space="preserve">Only applications, which have been submitted using the correct template and are fully completed, will be considered. </w:t>
      </w:r>
    </w:p>
    <w:p w14:paraId="7C5312C2" w14:textId="77777777" w:rsidR="000F328E" w:rsidRPr="004046E6" w:rsidRDefault="000F328E" w:rsidP="000F328E">
      <w:pPr>
        <w:tabs>
          <w:tab w:val="left" w:pos="1985"/>
        </w:tabs>
        <w:spacing w:after="0" w:line="240" w:lineRule="auto"/>
        <w:jc w:val="both"/>
        <w:rPr>
          <w:rFonts w:ascii="Times New Roman" w:hAnsi="Times New Roman" w:cs="Times New Roman"/>
          <w:bCs/>
          <w:iCs/>
          <w:color w:val="000000" w:themeColor="text1"/>
          <w:sz w:val="24"/>
          <w:szCs w:val="24"/>
          <w:lang w:val="en-GB"/>
        </w:rPr>
      </w:pPr>
    </w:p>
    <w:p w14:paraId="1A038E4C" w14:textId="77777777" w:rsidR="000F328E" w:rsidRPr="004046E6" w:rsidRDefault="000F328E" w:rsidP="000F328E">
      <w:pPr>
        <w:tabs>
          <w:tab w:val="left" w:pos="1985"/>
        </w:tabs>
        <w:spacing w:after="0" w:line="240" w:lineRule="auto"/>
        <w:jc w:val="both"/>
        <w:rPr>
          <w:rFonts w:ascii="Times New Roman" w:hAnsi="Times New Roman" w:cs="Times New Roman"/>
          <w:bCs/>
          <w:iCs/>
          <w:color w:val="000000" w:themeColor="text1"/>
          <w:sz w:val="24"/>
          <w:szCs w:val="24"/>
          <w:lang w:val="en-GB"/>
        </w:rPr>
      </w:pPr>
    </w:p>
    <w:p w14:paraId="1576A9CB" w14:textId="77777777" w:rsidR="000F328E" w:rsidRPr="004046E6" w:rsidRDefault="000F328E" w:rsidP="000F328E">
      <w:pPr>
        <w:pStyle w:val="a3"/>
        <w:numPr>
          <w:ilvl w:val="0"/>
          <w:numId w:val="11"/>
        </w:numPr>
        <w:spacing w:after="0" w:line="240" w:lineRule="auto"/>
        <w:ind w:left="0" w:firstLine="31"/>
        <w:contextualSpacing w:val="0"/>
        <w:jc w:val="both"/>
        <w:rPr>
          <w:rFonts w:ascii="Times New Roman" w:hAnsi="Times New Roman" w:cs="Times New Roman"/>
          <w:b/>
          <w:color w:val="000000" w:themeColor="text1"/>
          <w:sz w:val="24"/>
          <w:szCs w:val="24"/>
          <w:lang w:val="en-GB"/>
        </w:rPr>
      </w:pPr>
      <w:r w:rsidRPr="004046E6">
        <w:rPr>
          <w:rFonts w:ascii="Times New Roman" w:hAnsi="Times New Roman" w:cs="Times New Roman"/>
          <w:b/>
          <w:bCs/>
          <w:iCs/>
          <w:color w:val="000000" w:themeColor="text1"/>
          <w:sz w:val="24"/>
          <w:szCs w:val="24"/>
          <w:lang w:val="en-GB"/>
        </w:rPr>
        <w:t>Selection Procedure</w:t>
      </w:r>
    </w:p>
    <w:p w14:paraId="045C7C5C" w14:textId="77777777" w:rsidR="000F328E" w:rsidRPr="004046E6" w:rsidRDefault="000F328E" w:rsidP="000F328E">
      <w:pPr>
        <w:spacing w:after="0" w:line="240" w:lineRule="auto"/>
        <w:jc w:val="both"/>
        <w:rPr>
          <w:rFonts w:ascii="Times New Roman" w:hAnsi="Times New Roman" w:cs="Times New Roman"/>
          <w:bCs/>
          <w:iCs/>
          <w:color w:val="000000" w:themeColor="text1"/>
          <w:sz w:val="24"/>
          <w:szCs w:val="24"/>
          <w:lang w:val="en-GB"/>
        </w:rPr>
      </w:pPr>
      <w:r w:rsidRPr="004046E6">
        <w:rPr>
          <w:rFonts w:ascii="Times New Roman" w:hAnsi="Times New Roman" w:cs="Times New Roman"/>
          <w:bCs/>
          <w:iCs/>
          <w:color w:val="000000" w:themeColor="text1"/>
          <w:sz w:val="24"/>
          <w:szCs w:val="24"/>
          <w:lang w:val="en-GB"/>
        </w:rPr>
        <w:t>Following the evaluation of all applications received, selected candidates may be invited to written tests. Only shortlisted candidates will be invited to the interview.</w:t>
      </w:r>
    </w:p>
    <w:p w14:paraId="6B1B7DF5" w14:textId="77777777" w:rsidR="007D4F36" w:rsidRDefault="007D4F36"/>
    <w:sectPr w:rsidR="007D4F36" w:rsidSect="00D337CF">
      <w:pgSz w:w="11906" w:h="16838"/>
      <w:pgMar w:top="850" w:right="850"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EF69D" w14:textId="77777777" w:rsidR="00D337CF" w:rsidRDefault="00D337CF" w:rsidP="000F328E">
      <w:pPr>
        <w:spacing w:after="0" w:line="240" w:lineRule="auto"/>
      </w:pPr>
      <w:r>
        <w:separator/>
      </w:r>
    </w:p>
  </w:endnote>
  <w:endnote w:type="continuationSeparator" w:id="0">
    <w:p w14:paraId="3FA3A845" w14:textId="77777777" w:rsidR="00D337CF" w:rsidRDefault="00D337CF" w:rsidP="000F32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65D1E" w14:textId="77777777" w:rsidR="00D337CF" w:rsidRDefault="00D337CF" w:rsidP="000F328E">
      <w:pPr>
        <w:spacing w:after="0" w:line="240" w:lineRule="auto"/>
      </w:pPr>
      <w:r>
        <w:separator/>
      </w:r>
    </w:p>
  </w:footnote>
  <w:footnote w:type="continuationSeparator" w:id="0">
    <w:p w14:paraId="39742DB1" w14:textId="77777777" w:rsidR="00D337CF" w:rsidRDefault="00D337CF" w:rsidP="000F328E">
      <w:pPr>
        <w:spacing w:after="0" w:line="240" w:lineRule="auto"/>
      </w:pPr>
      <w:r>
        <w:continuationSeparator/>
      </w:r>
    </w:p>
  </w:footnote>
  <w:footnote w:id="1">
    <w:p w14:paraId="732278B4" w14:textId="77777777" w:rsidR="000F328E" w:rsidRPr="00165FD7" w:rsidRDefault="000F328E" w:rsidP="000F328E">
      <w:pPr>
        <w:pStyle w:val="a5"/>
      </w:pPr>
      <w:r>
        <w:rPr>
          <w:rStyle w:val="a7"/>
        </w:rPr>
        <w:footnoteRef/>
      </w:r>
      <w:r>
        <w:t xml:space="preserve"> </w:t>
      </w:r>
      <w:r w:rsidRPr="00165FD7">
        <w:rPr>
          <w:rFonts w:ascii="Times New Roman" w:hAnsi="Times New Roman" w:cs="Times New Roman"/>
        </w:rPr>
        <w:t xml:space="preserve">combined with Freedom of Movement for Workers. See chapters 2 and 19 of EU acquis: </w:t>
      </w:r>
      <w:hyperlink r:id="rId1" w:history="1">
        <w:r w:rsidRPr="00165FD7">
          <w:rPr>
            <w:rStyle w:val="a8"/>
            <w:rFonts w:ascii="Times New Roman" w:hAnsi="Times New Roman" w:cs="Times New Roman"/>
            <w:lang w:val="en-GB"/>
          </w:rPr>
          <w:t>https://neighbourhood-enlargement.ec.europa.eu/enlargement-policy/conditions-membership/chapters-acquis_en</w:t>
        </w:r>
      </w:hyperlink>
    </w:p>
    <w:p w14:paraId="0C7D7F2A" w14:textId="77777777" w:rsidR="000F328E" w:rsidRPr="00165FD7" w:rsidRDefault="000F328E" w:rsidP="000F328E">
      <w:pPr>
        <w:pStyle w:val="a5"/>
      </w:pPr>
    </w:p>
  </w:footnote>
  <w:footnote w:id="2">
    <w:p w14:paraId="458425C8" w14:textId="77777777" w:rsidR="000F328E" w:rsidRPr="007C54E3" w:rsidRDefault="000F328E" w:rsidP="000F328E">
      <w:pPr>
        <w:pStyle w:val="a5"/>
        <w:rPr>
          <w:lang w:val="en-US"/>
        </w:rPr>
      </w:pPr>
      <w:r>
        <w:rPr>
          <w:rStyle w:val="a7"/>
        </w:rPr>
        <w:footnoteRef/>
      </w:r>
      <w:r>
        <w:t xml:space="preserve"> </w:t>
      </w:r>
      <w:r w:rsidRPr="007C54E3">
        <w:rPr>
          <w:rFonts w:ascii="Times New Roman" w:hAnsi="Times New Roman" w:cs="Times New Roman"/>
          <w:sz w:val="18"/>
          <w:lang w:val="en-US"/>
        </w:rPr>
        <w:t>See chapters 2 and 19 of EU acquis:</w:t>
      </w:r>
      <w:r w:rsidRPr="007C54E3">
        <w:rPr>
          <w:rFonts w:ascii="Times New Roman" w:hAnsi="Times New Roman" w:cs="Times New Roman"/>
          <w:sz w:val="18"/>
          <w:lang w:val="en-GB"/>
        </w:rPr>
        <w:t xml:space="preserve"> https://neighbourhood-enlargement.ec.europa.eu/enlargement-policy/conditions-membership/chapters-acquis_en</w:t>
      </w:r>
    </w:p>
  </w:footnote>
  <w:footnote w:id="3">
    <w:p w14:paraId="79AA33FB" w14:textId="77777777" w:rsidR="000F328E" w:rsidRPr="00F205BE" w:rsidRDefault="000F328E" w:rsidP="000F328E">
      <w:pPr>
        <w:pStyle w:val="a5"/>
        <w:rPr>
          <w:lang w:val="en-GB"/>
        </w:rPr>
      </w:pPr>
      <w:r w:rsidRPr="009D5591">
        <w:rPr>
          <w:rStyle w:val="a7"/>
          <w:rFonts w:ascii="Times New Roman" w:hAnsi="Times New Roman" w:cs="Times New Roman"/>
        </w:rPr>
        <w:footnoteRef/>
      </w:r>
      <w:r w:rsidRPr="009D5591">
        <w:rPr>
          <w:rFonts w:ascii="Times New Roman" w:hAnsi="Times New Roman" w:cs="Times New Roman"/>
        </w:rPr>
        <w:t xml:space="preserve"> </w:t>
      </w:r>
      <w:r w:rsidRPr="009D5591">
        <w:rPr>
          <w:rFonts w:ascii="Times New Roman" w:hAnsi="Times New Roman" w:cs="Times New Roman"/>
          <w:lang w:val="en-GB"/>
        </w:rPr>
        <w:t>As above.</w:t>
      </w:r>
    </w:p>
  </w:footnote>
  <w:footnote w:id="4">
    <w:p w14:paraId="11992B95" w14:textId="77777777" w:rsidR="000F328E" w:rsidRPr="00C4442F" w:rsidRDefault="000F328E" w:rsidP="000F328E">
      <w:pPr>
        <w:pStyle w:val="a5"/>
        <w:rPr>
          <w:rFonts w:ascii="Times New Roman" w:hAnsi="Times New Roman" w:cs="Times New Roman"/>
          <w:lang w:val="en-GB"/>
        </w:rPr>
      </w:pPr>
      <w:r w:rsidRPr="00C4442F">
        <w:rPr>
          <w:rStyle w:val="a7"/>
          <w:rFonts w:ascii="Times New Roman" w:hAnsi="Times New Roman" w:cs="Times New Roman"/>
        </w:rPr>
        <w:footnoteRef/>
      </w:r>
      <w:r w:rsidRPr="00C4442F">
        <w:rPr>
          <w:rFonts w:ascii="Times New Roman" w:hAnsi="Times New Roman" w:cs="Times New Roman"/>
        </w:rPr>
        <w:t xml:space="preserve"> </w:t>
      </w:r>
      <w:hyperlink r:id="rId2" w:history="1">
        <w:r w:rsidRPr="00C4442F">
          <w:rPr>
            <w:rStyle w:val="a8"/>
            <w:rFonts w:ascii="Times New Roman" w:hAnsi="Times New Roman" w:cs="Times New Roman"/>
          </w:rPr>
          <w:t>https://neighbourhood-enlargement.ec.europa.eu/enlargement-policy/conditions-membership/chapters-acquis_en</w:t>
        </w:r>
      </w:hyperlink>
      <w:r w:rsidRPr="00C4442F">
        <w:rPr>
          <w:rFonts w:ascii="Times New Roman" w:hAnsi="Times New Roman" w:cs="Times New Roman"/>
          <w:lang w:val="en-GB"/>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93A08"/>
    <w:multiLevelType w:val="multilevel"/>
    <w:tmpl w:val="E3E44E0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16060616"/>
    <w:multiLevelType w:val="hybridMultilevel"/>
    <w:tmpl w:val="386E50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B4A2688"/>
    <w:multiLevelType w:val="hybridMultilevel"/>
    <w:tmpl w:val="F57ADE3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4FD06D7"/>
    <w:multiLevelType w:val="hybridMultilevel"/>
    <w:tmpl w:val="3A66A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5426DE"/>
    <w:multiLevelType w:val="multilevel"/>
    <w:tmpl w:val="BA5E5020"/>
    <w:lvl w:ilvl="0">
      <w:start w:val="3"/>
      <w:numFmt w:val="decimal"/>
      <w:lvlText w:val="%1."/>
      <w:lvlJc w:val="left"/>
      <w:pPr>
        <w:ind w:left="820" w:hanging="360"/>
      </w:pPr>
      <w:rPr>
        <w:rFonts w:hint="default"/>
      </w:rPr>
    </w:lvl>
    <w:lvl w:ilvl="1">
      <w:start w:val="1"/>
      <w:numFmt w:val="decimal"/>
      <w:isLgl/>
      <w:lvlText w:val="%1.%2"/>
      <w:lvlJc w:val="left"/>
      <w:pPr>
        <w:ind w:left="820" w:hanging="360"/>
      </w:pPr>
      <w:rPr>
        <w:rFonts w:hint="default"/>
        <w:b/>
        <w:i/>
      </w:rPr>
    </w:lvl>
    <w:lvl w:ilvl="2">
      <w:start w:val="1"/>
      <w:numFmt w:val="decimal"/>
      <w:isLgl/>
      <w:lvlText w:val="%1.%2.%3"/>
      <w:lvlJc w:val="left"/>
      <w:pPr>
        <w:ind w:left="1180" w:hanging="720"/>
      </w:pPr>
      <w:rPr>
        <w:rFonts w:hint="default"/>
        <w:b/>
        <w:i/>
      </w:rPr>
    </w:lvl>
    <w:lvl w:ilvl="3">
      <w:start w:val="1"/>
      <w:numFmt w:val="decimal"/>
      <w:isLgl/>
      <w:lvlText w:val="%1.%2.%3.%4"/>
      <w:lvlJc w:val="left"/>
      <w:pPr>
        <w:ind w:left="1180" w:hanging="720"/>
      </w:pPr>
      <w:rPr>
        <w:rFonts w:hint="default"/>
        <w:b/>
        <w:i/>
      </w:rPr>
    </w:lvl>
    <w:lvl w:ilvl="4">
      <w:start w:val="1"/>
      <w:numFmt w:val="decimal"/>
      <w:isLgl/>
      <w:lvlText w:val="%1.%2.%3.%4.%5"/>
      <w:lvlJc w:val="left"/>
      <w:pPr>
        <w:ind w:left="1540" w:hanging="1080"/>
      </w:pPr>
      <w:rPr>
        <w:rFonts w:hint="default"/>
        <w:b/>
        <w:i/>
      </w:rPr>
    </w:lvl>
    <w:lvl w:ilvl="5">
      <w:start w:val="1"/>
      <w:numFmt w:val="decimal"/>
      <w:isLgl/>
      <w:lvlText w:val="%1.%2.%3.%4.%5.%6"/>
      <w:lvlJc w:val="left"/>
      <w:pPr>
        <w:ind w:left="1540" w:hanging="1080"/>
      </w:pPr>
      <w:rPr>
        <w:rFonts w:hint="default"/>
        <w:b/>
        <w:i/>
      </w:rPr>
    </w:lvl>
    <w:lvl w:ilvl="6">
      <w:start w:val="1"/>
      <w:numFmt w:val="decimal"/>
      <w:isLgl/>
      <w:lvlText w:val="%1.%2.%3.%4.%5.%6.%7"/>
      <w:lvlJc w:val="left"/>
      <w:pPr>
        <w:ind w:left="1900" w:hanging="1440"/>
      </w:pPr>
      <w:rPr>
        <w:rFonts w:hint="default"/>
        <w:b/>
        <w:i/>
      </w:rPr>
    </w:lvl>
    <w:lvl w:ilvl="7">
      <w:start w:val="1"/>
      <w:numFmt w:val="decimal"/>
      <w:isLgl/>
      <w:lvlText w:val="%1.%2.%3.%4.%5.%6.%7.%8"/>
      <w:lvlJc w:val="left"/>
      <w:pPr>
        <w:ind w:left="1900" w:hanging="1440"/>
      </w:pPr>
      <w:rPr>
        <w:rFonts w:hint="default"/>
        <w:b/>
        <w:i/>
      </w:rPr>
    </w:lvl>
    <w:lvl w:ilvl="8">
      <w:start w:val="1"/>
      <w:numFmt w:val="decimal"/>
      <w:isLgl/>
      <w:lvlText w:val="%1.%2.%3.%4.%5.%6.%7.%8.%9"/>
      <w:lvlJc w:val="left"/>
      <w:pPr>
        <w:ind w:left="2260" w:hanging="1800"/>
      </w:pPr>
      <w:rPr>
        <w:rFonts w:hint="default"/>
        <w:b/>
        <w:i/>
      </w:rPr>
    </w:lvl>
  </w:abstractNum>
  <w:abstractNum w:abstractNumId="5" w15:restartNumberingAfterBreak="0">
    <w:nsid w:val="442D43B2"/>
    <w:multiLevelType w:val="hybridMultilevel"/>
    <w:tmpl w:val="6C16F5F6"/>
    <w:lvl w:ilvl="0" w:tplc="987C6020">
      <w:numFmt w:val="bullet"/>
      <w:lvlText w:val="-"/>
      <w:lvlJc w:val="left"/>
      <w:pPr>
        <w:ind w:left="720" w:hanging="360"/>
      </w:pPr>
      <w:rPr>
        <w:rFonts w:ascii="Times New Roman" w:eastAsia="Arial Unicode M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F53127"/>
    <w:multiLevelType w:val="multilevel"/>
    <w:tmpl w:val="C6543768"/>
    <w:lvl w:ilvl="0">
      <w:start w:val="1"/>
      <w:numFmt w:val="bullet"/>
      <w:lvlText w:val=""/>
      <w:lvlJc w:val="left"/>
      <w:pPr>
        <w:ind w:left="821" w:hanging="361"/>
      </w:pPr>
      <w:rPr>
        <w:rFonts w:ascii="Symbol" w:hAnsi="Symbol" w:hint="default"/>
        <w:b/>
        <w:sz w:val="22"/>
        <w:szCs w:val="22"/>
      </w:rPr>
    </w:lvl>
    <w:lvl w:ilvl="1">
      <w:start w:val="1"/>
      <w:numFmt w:val="bullet"/>
      <w:lvlText w:val="-"/>
      <w:lvlJc w:val="left"/>
      <w:pPr>
        <w:ind w:left="1181" w:hanging="360"/>
      </w:pPr>
      <w:rPr>
        <w:rFonts w:ascii="Arial" w:eastAsia="Arial" w:hAnsi="Arial" w:cs="Arial" w:hint="default"/>
        <w:i/>
        <w:sz w:val="22"/>
        <w:szCs w:val="22"/>
      </w:rPr>
    </w:lvl>
    <w:lvl w:ilvl="2">
      <w:start w:val="1"/>
      <w:numFmt w:val="bullet"/>
      <w:lvlText w:val="•"/>
      <w:lvlJc w:val="left"/>
      <w:pPr>
        <w:ind w:left="2152" w:hanging="360"/>
      </w:pPr>
      <w:rPr>
        <w:rFonts w:ascii="Arial" w:eastAsia="Arial" w:hAnsi="Arial" w:cs="Arial" w:hint="default"/>
      </w:rPr>
    </w:lvl>
    <w:lvl w:ilvl="3">
      <w:start w:val="1"/>
      <w:numFmt w:val="bullet"/>
      <w:lvlText w:val="•"/>
      <w:lvlJc w:val="left"/>
      <w:pPr>
        <w:ind w:left="3124" w:hanging="360"/>
      </w:pPr>
      <w:rPr>
        <w:rFonts w:ascii="Arial" w:eastAsia="Arial" w:hAnsi="Arial" w:cs="Arial" w:hint="default"/>
      </w:rPr>
    </w:lvl>
    <w:lvl w:ilvl="4">
      <w:start w:val="1"/>
      <w:numFmt w:val="bullet"/>
      <w:lvlText w:val="•"/>
      <w:lvlJc w:val="left"/>
      <w:pPr>
        <w:ind w:left="4095" w:hanging="360"/>
      </w:pPr>
      <w:rPr>
        <w:rFonts w:ascii="Arial" w:eastAsia="Arial" w:hAnsi="Arial" w:cs="Arial" w:hint="default"/>
      </w:rPr>
    </w:lvl>
    <w:lvl w:ilvl="5">
      <w:start w:val="1"/>
      <w:numFmt w:val="bullet"/>
      <w:lvlText w:val="•"/>
      <w:lvlJc w:val="left"/>
      <w:pPr>
        <w:ind w:left="5067" w:hanging="360"/>
      </w:pPr>
      <w:rPr>
        <w:rFonts w:ascii="Arial" w:eastAsia="Arial" w:hAnsi="Arial" w:cs="Arial" w:hint="default"/>
      </w:rPr>
    </w:lvl>
    <w:lvl w:ilvl="6">
      <w:start w:val="1"/>
      <w:numFmt w:val="bullet"/>
      <w:lvlText w:val="•"/>
      <w:lvlJc w:val="left"/>
      <w:pPr>
        <w:ind w:left="6038" w:hanging="360"/>
      </w:pPr>
      <w:rPr>
        <w:rFonts w:ascii="Arial" w:eastAsia="Arial" w:hAnsi="Arial" w:cs="Arial" w:hint="default"/>
      </w:rPr>
    </w:lvl>
    <w:lvl w:ilvl="7">
      <w:start w:val="1"/>
      <w:numFmt w:val="bullet"/>
      <w:lvlText w:val="•"/>
      <w:lvlJc w:val="left"/>
      <w:pPr>
        <w:ind w:left="7010" w:hanging="360"/>
      </w:pPr>
      <w:rPr>
        <w:rFonts w:ascii="Arial" w:eastAsia="Arial" w:hAnsi="Arial" w:cs="Arial" w:hint="default"/>
      </w:rPr>
    </w:lvl>
    <w:lvl w:ilvl="8">
      <w:start w:val="1"/>
      <w:numFmt w:val="bullet"/>
      <w:lvlText w:val="•"/>
      <w:lvlJc w:val="left"/>
      <w:pPr>
        <w:ind w:left="7981" w:hanging="360"/>
      </w:pPr>
      <w:rPr>
        <w:rFonts w:ascii="Arial" w:eastAsia="Arial" w:hAnsi="Arial" w:cs="Arial" w:hint="default"/>
      </w:rPr>
    </w:lvl>
  </w:abstractNum>
  <w:abstractNum w:abstractNumId="7" w15:restartNumberingAfterBreak="0">
    <w:nsid w:val="65926BC8"/>
    <w:multiLevelType w:val="hybridMultilevel"/>
    <w:tmpl w:val="51B626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7EE5700"/>
    <w:multiLevelType w:val="multilevel"/>
    <w:tmpl w:val="E5EE592E"/>
    <w:lvl w:ilvl="0">
      <w:start w:val="1"/>
      <w:numFmt w:val="decimal"/>
      <w:lvlText w:val="%1."/>
      <w:lvlJc w:val="left"/>
      <w:pPr>
        <w:ind w:left="460" w:hanging="361"/>
      </w:pPr>
      <w:rPr>
        <w:rFonts w:hint="default"/>
        <w:b/>
        <w:sz w:val="22"/>
        <w:szCs w:val="22"/>
      </w:rPr>
    </w:lvl>
    <w:lvl w:ilvl="1">
      <w:start w:val="1"/>
      <w:numFmt w:val="bullet"/>
      <w:lvlText w:val="-"/>
      <w:lvlJc w:val="left"/>
      <w:pPr>
        <w:ind w:left="820" w:hanging="360"/>
      </w:pPr>
      <w:rPr>
        <w:rFonts w:ascii="Arial" w:eastAsia="Arial" w:hAnsi="Arial" w:cs="Arial" w:hint="default"/>
        <w:i/>
        <w:sz w:val="22"/>
        <w:szCs w:val="22"/>
      </w:rPr>
    </w:lvl>
    <w:lvl w:ilvl="2">
      <w:start w:val="1"/>
      <w:numFmt w:val="bullet"/>
      <w:lvlText w:val="•"/>
      <w:lvlJc w:val="left"/>
      <w:pPr>
        <w:ind w:left="1791" w:hanging="360"/>
      </w:pPr>
      <w:rPr>
        <w:rFonts w:ascii="Arial" w:eastAsia="Arial" w:hAnsi="Arial" w:cs="Arial" w:hint="default"/>
      </w:rPr>
    </w:lvl>
    <w:lvl w:ilvl="3">
      <w:start w:val="1"/>
      <w:numFmt w:val="bullet"/>
      <w:lvlText w:val="•"/>
      <w:lvlJc w:val="left"/>
      <w:pPr>
        <w:ind w:left="2763" w:hanging="360"/>
      </w:pPr>
      <w:rPr>
        <w:rFonts w:ascii="Arial" w:eastAsia="Arial" w:hAnsi="Arial" w:cs="Arial" w:hint="default"/>
      </w:rPr>
    </w:lvl>
    <w:lvl w:ilvl="4">
      <w:start w:val="1"/>
      <w:numFmt w:val="bullet"/>
      <w:lvlText w:val="•"/>
      <w:lvlJc w:val="left"/>
      <w:pPr>
        <w:ind w:left="3734" w:hanging="360"/>
      </w:pPr>
      <w:rPr>
        <w:rFonts w:ascii="Arial" w:eastAsia="Arial" w:hAnsi="Arial" w:cs="Arial" w:hint="default"/>
      </w:rPr>
    </w:lvl>
    <w:lvl w:ilvl="5">
      <w:start w:val="1"/>
      <w:numFmt w:val="bullet"/>
      <w:lvlText w:val="•"/>
      <w:lvlJc w:val="left"/>
      <w:pPr>
        <w:ind w:left="4706" w:hanging="360"/>
      </w:pPr>
      <w:rPr>
        <w:rFonts w:ascii="Arial" w:eastAsia="Arial" w:hAnsi="Arial" w:cs="Arial" w:hint="default"/>
      </w:rPr>
    </w:lvl>
    <w:lvl w:ilvl="6">
      <w:start w:val="1"/>
      <w:numFmt w:val="bullet"/>
      <w:lvlText w:val="•"/>
      <w:lvlJc w:val="left"/>
      <w:pPr>
        <w:ind w:left="5677" w:hanging="360"/>
      </w:pPr>
      <w:rPr>
        <w:rFonts w:ascii="Arial" w:eastAsia="Arial" w:hAnsi="Arial" w:cs="Arial" w:hint="default"/>
      </w:rPr>
    </w:lvl>
    <w:lvl w:ilvl="7">
      <w:start w:val="1"/>
      <w:numFmt w:val="bullet"/>
      <w:lvlText w:val="•"/>
      <w:lvlJc w:val="left"/>
      <w:pPr>
        <w:ind w:left="6649" w:hanging="360"/>
      </w:pPr>
      <w:rPr>
        <w:rFonts w:ascii="Arial" w:eastAsia="Arial" w:hAnsi="Arial" w:cs="Arial" w:hint="default"/>
      </w:rPr>
    </w:lvl>
    <w:lvl w:ilvl="8">
      <w:start w:val="1"/>
      <w:numFmt w:val="bullet"/>
      <w:lvlText w:val="•"/>
      <w:lvlJc w:val="left"/>
      <w:pPr>
        <w:ind w:left="7620" w:hanging="360"/>
      </w:pPr>
      <w:rPr>
        <w:rFonts w:ascii="Arial" w:eastAsia="Arial" w:hAnsi="Arial" w:cs="Arial" w:hint="default"/>
      </w:rPr>
    </w:lvl>
  </w:abstractNum>
  <w:abstractNum w:abstractNumId="9" w15:restartNumberingAfterBreak="0">
    <w:nsid w:val="69D01406"/>
    <w:multiLevelType w:val="hybridMultilevel"/>
    <w:tmpl w:val="E098E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11B79B7"/>
    <w:multiLevelType w:val="hybridMultilevel"/>
    <w:tmpl w:val="D0B447F0"/>
    <w:lvl w:ilvl="0" w:tplc="08090001">
      <w:start w:val="1"/>
      <w:numFmt w:val="bullet"/>
      <w:lvlText w:val=""/>
      <w:lvlJc w:val="left"/>
      <w:pPr>
        <w:ind w:left="819" w:hanging="360"/>
      </w:pPr>
      <w:rPr>
        <w:rFonts w:ascii="Symbol" w:hAnsi="Symbol" w:hint="default"/>
      </w:rPr>
    </w:lvl>
    <w:lvl w:ilvl="1" w:tplc="08090003" w:tentative="1">
      <w:start w:val="1"/>
      <w:numFmt w:val="bullet"/>
      <w:lvlText w:val="o"/>
      <w:lvlJc w:val="left"/>
      <w:pPr>
        <w:ind w:left="1539" w:hanging="360"/>
      </w:pPr>
      <w:rPr>
        <w:rFonts w:ascii="Courier New" w:hAnsi="Courier New" w:cs="Courier New" w:hint="default"/>
      </w:rPr>
    </w:lvl>
    <w:lvl w:ilvl="2" w:tplc="08090005" w:tentative="1">
      <w:start w:val="1"/>
      <w:numFmt w:val="bullet"/>
      <w:lvlText w:val=""/>
      <w:lvlJc w:val="left"/>
      <w:pPr>
        <w:ind w:left="2259" w:hanging="360"/>
      </w:pPr>
      <w:rPr>
        <w:rFonts w:ascii="Wingdings" w:hAnsi="Wingdings" w:hint="default"/>
      </w:rPr>
    </w:lvl>
    <w:lvl w:ilvl="3" w:tplc="08090001" w:tentative="1">
      <w:start w:val="1"/>
      <w:numFmt w:val="bullet"/>
      <w:lvlText w:val=""/>
      <w:lvlJc w:val="left"/>
      <w:pPr>
        <w:ind w:left="2979" w:hanging="360"/>
      </w:pPr>
      <w:rPr>
        <w:rFonts w:ascii="Symbol" w:hAnsi="Symbol" w:hint="default"/>
      </w:rPr>
    </w:lvl>
    <w:lvl w:ilvl="4" w:tplc="08090003" w:tentative="1">
      <w:start w:val="1"/>
      <w:numFmt w:val="bullet"/>
      <w:lvlText w:val="o"/>
      <w:lvlJc w:val="left"/>
      <w:pPr>
        <w:ind w:left="3699" w:hanging="360"/>
      </w:pPr>
      <w:rPr>
        <w:rFonts w:ascii="Courier New" w:hAnsi="Courier New" w:cs="Courier New" w:hint="default"/>
      </w:rPr>
    </w:lvl>
    <w:lvl w:ilvl="5" w:tplc="08090005" w:tentative="1">
      <w:start w:val="1"/>
      <w:numFmt w:val="bullet"/>
      <w:lvlText w:val=""/>
      <w:lvlJc w:val="left"/>
      <w:pPr>
        <w:ind w:left="4419" w:hanging="360"/>
      </w:pPr>
      <w:rPr>
        <w:rFonts w:ascii="Wingdings" w:hAnsi="Wingdings" w:hint="default"/>
      </w:rPr>
    </w:lvl>
    <w:lvl w:ilvl="6" w:tplc="08090001" w:tentative="1">
      <w:start w:val="1"/>
      <w:numFmt w:val="bullet"/>
      <w:lvlText w:val=""/>
      <w:lvlJc w:val="left"/>
      <w:pPr>
        <w:ind w:left="5139" w:hanging="360"/>
      </w:pPr>
      <w:rPr>
        <w:rFonts w:ascii="Symbol" w:hAnsi="Symbol" w:hint="default"/>
      </w:rPr>
    </w:lvl>
    <w:lvl w:ilvl="7" w:tplc="08090003" w:tentative="1">
      <w:start w:val="1"/>
      <w:numFmt w:val="bullet"/>
      <w:lvlText w:val="o"/>
      <w:lvlJc w:val="left"/>
      <w:pPr>
        <w:ind w:left="5859" w:hanging="360"/>
      </w:pPr>
      <w:rPr>
        <w:rFonts w:ascii="Courier New" w:hAnsi="Courier New" w:cs="Courier New" w:hint="default"/>
      </w:rPr>
    </w:lvl>
    <w:lvl w:ilvl="8" w:tplc="08090005" w:tentative="1">
      <w:start w:val="1"/>
      <w:numFmt w:val="bullet"/>
      <w:lvlText w:val=""/>
      <w:lvlJc w:val="left"/>
      <w:pPr>
        <w:ind w:left="6579" w:hanging="360"/>
      </w:pPr>
      <w:rPr>
        <w:rFonts w:ascii="Wingdings" w:hAnsi="Wingdings" w:hint="default"/>
      </w:rPr>
    </w:lvl>
  </w:abstractNum>
  <w:num w:numId="1" w16cid:durableId="1877884583">
    <w:abstractNumId w:val="10"/>
  </w:num>
  <w:num w:numId="2" w16cid:durableId="567620531">
    <w:abstractNumId w:val="3"/>
  </w:num>
  <w:num w:numId="3" w16cid:durableId="1570767307">
    <w:abstractNumId w:val="8"/>
  </w:num>
  <w:num w:numId="4" w16cid:durableId="1267274290">
    <w:abstractNumId w:val="6"/>
  </w:num>
  <w:num w:numId="5" w16cid:durableId="400954497">
    <w:abstractNumId w:val="7"/>
  </w:num>
  <w:num w:numId="6" w16cid:durableId="1661888560">
    <w:abstractNumId w:val="0"/>
  </w:num>
  <w:num w:numId="7" w16cid:durableId="212736034">
    <w:abstractNumId w:val="1"/>
  </w:num>
  <w:num w:numId="8" w16cid:durableId="1409688867">
    <w:abstractNumId w:val="5"/>
  </w:num>
  <w:num w:numId="9" w16cid:durableId="1569150771">
    <w:abstractNumId w:val="9"/>
  </w:num>
  <w:num w:numId="10" w16cid:durableId="1429887706">
    <w:abstractNumId w:val="2"/>
  </w:num>
  <w:num w:numId="11" w16cid:durableId="19152364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28E"/>
    <w:rsid w:val="0007578E"/>
    <w:rsid w:val="000F328E"/>
    <w:rsid w:val="004D7787"/>
    <w:rsid w:val="00582E9A"/>
    <w:rsid w:val="00715980"/>
    <w:rsid w:val="007D4F36"/>
    <w:rsid w:val="00A47E8B"/>
    <w:rsid w:val="00A769D2"/>
    <w:rsid w:val="00AD0B4C"/>
    <w:rsid w:val="00B065A4"/>
    <w:rsid w:val="00B137F0"/>
    <w:rsid w:val="00B62A2B"/>
    <w:rsid w:val="00C5799E"/>
    <w:rsid w:val="00C7554E"/>
    <w:rsid w:val="00D337CF"/>
    <w:rsid w:val="00D446D1"/>
    <w:rsid w:val="00E8428E"/>
    <w:rsid w:val="00F4047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46EA5B"/>
  <w15:chartTrackingRefBased/>
  <w15:docId w15:val="{E08E0ECC-D2AF-4228-B334-2B2FFD0B7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328E"/>
    <w:pPr>
      <w:spacing w:after="200" w:line="276" w:lineRule="auto"/>
    </w:pPr>
    <w:rPr>
      <w:rFonts w:eastAsiaTheme="minorEastAsia"/>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 Points,Liste Paragraf,Llista Nivell1,Lista de nivel 1,Paragraphe de liste PBLH,Normal bullet 2,Graph &amp; Table tite,Table of contents numbered,Bullet list,Bullet List Paragraph,Level 1 Bullet,numbered,Bullet List,FooterText,列出段落"/>
    <w:basedOn w:val="a"/>
    <w:link w:val="a4"/>
    <w:uiPriority w:val="34"/>
    <w:qFormat/>
    <w:rsid w:val="000F328E"/>
    <w:pPr>
      <w:spacing w:after="160" w:line="259" w:lineRule="auto"/>
      <w:ind w:left="720"/>
      <w:contextualSpacing/>
    </w:pPr>
    <w:rPr>
      <w:lang w:val="en-US"/>
    </w:rPr>
  </w:style>
  <w:style w:type="character" w:customStyle="1" w:styleId="a4">
    <w:name w:val="Абзац списку Знак"/>
    <w:aliases w:val="Bullet Points Знак,Liste Paragraf Знак,Llista Nivell1 Знак,Lista de nivel 1 Знак,Paragraphe de liste PBLH Знак,Normal bullet 2 Знак,Graph &amp; Table tite Знак,Table of contents numbered Знак,Bullet list Знак,Bullet List Paragraph Знак"/>
    <w:link w:val="a3"/>
    <w:uiPriority w:val="34"/>
    <w:locked/>
    <w:rsid w:val="000F328E"/>
    <w:rPr>
      <w:rFonts w:eastAsiaTheme="minorEastAsia"/>
      <w:lang w:val="en-US" w:eastAsia="uk-UA"/>
    </w:rPr>
  </w:style>
  <w:style w:type="paragraph" w:customStyle="1" w:styleId="Normale-n-ind">
    <w:name w:val="Normale-n-ind"/>
    <w:rsid w:val="000F328E"/>
    <w:pPr>
      <w:pBdr>
        <w:top w:val="nil"/>
        <w:left w:val="nil"/>
        <w:bottom w:val="nil"/>
        <w:right w:val="nil"/>
        <w:between w:val="nil"/>
        <w:bar w:val="nil"/>
      </w:pBdr>
      <w:spacing w:after="120" w:line="180" w:lineRule="atLeast"/>
      <w:jc w:val="both"/>
    </w:pPr>
    <w:rPr>
      <w:rFonts w:ascii="Times New Roman" w:eastAsia="Times New Roman" w:hAnsi="Times New Roman" w:cs="Times New Roman"/>
      <w:color w:val="000000"/>
      <w:sz w:val="24"/>
      <w:szCs w:val="24"/>
      <w:u w:color="000000"/>
      <w:bdr w:val="nil"/>
      <w:lang w:val="it-IT" w:eastAsia="en-GB"/>
    </w:rPr>
  </w:style>
  <w:style w:type="paragraph" w:styleId="a5">
    <w:name w:val="footnote text"/>
    <w:basedOn w:val="a"/>
    <w:link w:val="a6"/>
    <w:uiPriority w:val="99"/>
    <w:semiHidden/>
    <w:unhideWhenUsed/>
    <w:rsid w:val="000F328E"/>
    <w:pPr>
      <w:spacing w:after="0" w:line="240" w:lineRule="auto"/>
    </w:pPr>
    <w:rPr>
      <w:rFonts w:eastAsiaTheme="minorHAnsi"/>
      <w:sz w:val="20"/>
      <w:szCs w:val="20"/>
      <w:lang w:eastAsia="en-US"/>
    </w:rPr>
  </w:style>
  <w:style w:type="character" w:customStyle="1" w:styleId="a6">
    <w:name w:val="Текст виноски Знак"/>
    <w:basedOn w:val="a0"/>
    <w:link w:val="a5"/>
    <w:uiPriority w:val="99"/>
    <w:semiHidden/>
    <w:rsid w:val="000F328E"/>
    <w:rPr>
      <w:sz w:val="20"/>
      <w:szCs w:val="20"/>
    </w:rPr>
  </w:style>
  <w:style w:type="character" w:styleId="a7">
    <w:name w:val="footnote reference"/>
    <w:basedOn w:val="a0"/>
    <w:uiPriority w:val="99"/>
    <w:semiHidden/>
    <w:unhideWhenUsed/>
    <w:rsid w:val="000F328E"/>
    <w:rPr>
      <w:vertAlign w:val="superscript"/>
    </w:rPr>
  </w:style>
  <w:style w:type="character" w:styleId="a8">
    <w:name w:val="Hyperlink"/>
    <w:basedOn w:val="a0"/>
    <w:uiPriority w:val="99"/>
    <w:unhideWhenUsed/>
    <w:rsid w:val="000F328E"/>
    <w:rPr>
      <w:color w:val="0563C1" w:themeColor="hyperlink"/>
      <w:u w:val="single"/>
    </w:rPr>
  </w:style>
  <w:style w:type="paragraph" w:styleId="a9">
    <w:name w:val="Balloon Text"/>
    <w:basedOn w:val="a"/>
    <w:link w:val="aa"/>
    <w:uiPriority w:val="99"/>
    <w:semiHidden/>
    <w:unhideWhenUsed/>
    <w:rsid w:val="000F328E"/>
    <w:pPr>
      <w:spacing w:after="0" w:line="240" w:lineRule="auto"/>
    </w:pPr>
    <w:rPr>
      <w:rFonts w:ascii="Segoe UI" w:hAnsi="Segoe UI" w:cs="Segoe UI"/>
      <w:sz w:val="18"/>
      <w:szCs w:val="18"/>
    </w:rPr>
  </w:style>
  <w:style w:type="character" w:customStyle="1" w:styleId="aa">
    <w:name w:val="Текст у виносці Знак"/>
    <w:basedOn w:val="a0"/>
    <w:link w:val="a9"/>
    <w:uiPriority w:val="99"/>
    <w:semiHidden/>
    <w:rsid w:val="000F328E"/>
    <w:rPr>
      <w:rFonts w:ascii="Segoe UI" w:eastAsiaTheme="minorEastAsia" w:hAnsi="Segoe UI" w:cs="Segoe UI"/>
      <w:sz w:val="18"/>
      <w:szCs w:val="18"/>
      <w:lang w:eastAsia="uk-UA"/>
    </w:rPr>
  </w:style>
  <w:style w:type="character" w:styleId="ab">
    <w:name w:val="annotation reference"/>
    <w:basedOn w:val="a0"/>
    <w:uiPriority w:val="99"/>
    <w:semiHidden/>
    <w:unhideWhenUsed/>
    <w:rsid w:val="00715980"/>
    <w:rPr>
      <w:sz w:val="16"/>
      <w:szCs w:val="16"/>
    </w:rPr>
  </w:style>
  <w:style w:type="paragraph" w:styleId="ac">
    <w:name w:val="annotation text"/>
    <w:basedOn w:val="a"/>
    <w:link w:val="ad"/>
    <w:uiPriority w:val="99"/>
    <w:semiHidden/>
    <w:unhideWhenUsed/>
    <w:rsid w:val="00715980"/>
    <w:pPr>
      <w:spacing w:line="240" w:lineRule="auto"/>
    </w:pPr>
    <w:rPr>
      <w:sz w:val="20"/>
      <w:szCs w:val="20"/>
    </w:rPr>
  </w:style>
  <w:style w:type="character" w:customStyle="1" w:styleId="ad">
    <w:name w:val="Текст примітки Знак"/>
    <w:basedOn w:val="a0"/>
    <w:link w:val="ac"/>
    <w:uiPriority w:val="99"/>
    <w:semiHidden/>
    <w:rsid w:val="00715980"/>
    <w:rPr>
      <w:rFonts w:eastAsiaTheme="minorEastAsia"/>
      <w:sz w:val="20"/>
      <w:szCs w:val="20"/>
      <w:lang w:eastAsia="uk-UA"/>
    </w:rPr>
  </w:style>
  <w:style w:type="paragraph" w:styleId="ae">
    <w:name w:val="annotation subject"/>
    <w:basedOn w:val="ac"/>
    <w:next w:val="ac"/>
    <w:link w:val="af"/>
    <w:uiPriority w:val="99"/>
    <w:semiHidden/>
    <w:unhideWhenUsed/>
    <w:rsid w:val="00715980"/>
    <w:rPr>
      <w:b/>
      <w:bCs/>
    </w:rPr>
  </w:style>
  <w:style w:type="character" w:customStyle="1" w:styleId="af">
    <w:name w:val="Тема примітки Знак"/>
    <w:basedOn w:val="ad"/>
    <w:link w:val="ae"/>
    <w:uiPriority w:val="99"/>
    <w:semiHidden/>
    <w:rsid w:val="00715980"/>
    <w:rPr>
      <w:rFonts w:eastAsiaTheme="minorEastAsia"/>
      <w:b/>
      <w:bCs/>
      <w:sz w:val="20"/>
      <w:szCs w:val="20"/>
      <w:lang w:eastAsia="uk-UA"/>
    </w:rPr>
  </w:style>
  <w:style w:type="paragraph" w:styleId="af0">
    <w:name w:val="Revision"/>
    <w:hidden/>
    <w:uiPriority w:val="99"/>
    <w:semiHidden/>
    <w:rsid w:val="00C7554E"/>
    <w:pPr>
      <w:spacing w:after="0" w:line="240" w:lineRule="auto"/>
    </w:pPr>
    <w:rPr>
      <w:rFonts w:eastAsiaTheme="minorEastAsia"/>
      <w:lang w:eastAsia="uk-UA"/>
    </w:rPr>
  </w:style>
  <w:style w:type="paragraph" w:styleId="af1">
    <w:name w:val="header"/>
    <w:basedOn w:val="a"/>
    <w:link w:val="af2"/>
    <w:uiPriority w:val="99"/>
    <w:unhideWhenUsed/>
    <w:rsid w:val="0007578E"/>
    <w:pPr>
      <w:tabs>
        <w:tab w:val="center" w:pos="4513"/>
        <w:tab w:val="right" w:pos="9026"/>
      </w:tabs>
      <w:spacing w:after="0" w:line="240" w:lineRule="auto"/>
    </w:pPr>
  </w:style>
  <w:style w:type="character" w:customStyle="1" w:styleId="af2">
    <w:name w:val="Верхній колонтитул Знак"/>
    <w:basedOn w:val="a0"/>
    <w:link w:val="af1"/>
    <w:uiPriority w:val="99"/>
    <w:rsid w:val="0007578E"/>
    <w:rPr>
      <w:rFonts w:eastAsiaTheme="minorEastAsia"/>
      <w:lang w:eastAsia="uk-UA"/>
    </w:rPr>
  </w:style>
  <w:style w:type="paragraph" w:styleId="af3">
    <w:name w:val="footer"/>
    <w:basedOn w:val="a"/>
    <w:link w:val="af4"/>
    <w:uiPriority w:val="99"/>
    <w:unhideWhenUsed/>
    <w:rsid w:val="0007578E"/>
    <w:pPr>
      <w:tabs>
        <w:tab w:val="center" w:pos="4513"/>
        <w:tab w:val="right" w:pos="9026"/>
      </w:tabs>
      <w:spacing w:after="0" w:line="240" w:lineRule="auto"/>
    </w:pPr>
  </w:style>
  <w:style w:type="character" w:customStyle="1" w:styleId="af4">
    <w:name w:val="Нижній колонтитул Знак"/>
    <w:basedOn w:val="a0"/>
    <w:link w:val="af3"/>
    <w:uiPriority w:val="99"/>
    <w:rsid w:val="0007578E"/>
    <w:rPr>
      <w:rFonts w:eastAsiaTheme="minorEastAsia"/>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neighbourhood-enlargement.ec.europa.eu/enlargement-policy/conditions-membership/chapters-acquis_en" TargetMode="External"/><Relationship Id="rId1" Type="http://schemas.openxmlformats.org/officeDocument/2006/relationships/hyperlink" Target="https://neighbourhood-enlargement.ec.europa.eu/enlargement-policy/conditions-membership/chapters-acquis_en"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d="http://www.w3.org/2001/XMLSchema" xmlns:xsi="http://www.w3.org/2001/XMLSchema-instance" xmlns="http://www.boldonjames.com/2008/01/sie/internal/label" sislVersion="0" policy="1d45786f-a737-4735-8af6-df12fb6939a2" origin="userSelected">
  <element uid="9c87da95-7b2f-439f-bfd9-321fc51f6870" value=""/>
  <element uid="214105f6-acd4-485a-afa0-a0b988f7534c" value=""/>
</sisl>
</file>

<file path=customXml/itemProps1.xml><?xml version="1.0" encoding="utf-8"?>
<ds:datastoreItem xmlns:ds="http://schemas.openxmlformats.org/officeDocument/2006/customXml" ds:itemID="{7D44F719-3609-4934-8B8D-932EE2E07333}">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10808</Words>
  <Characters>6161</Characters>
  <Application>Microsoft Office Word</Application>
  <DocSecurity>0</DocSecurity>
  <Lines>51</Lines>
  <Paragraphs>33</Paragraphs>
  <ScaleCrop>false</ScaleCrop>
  <HeadingPairs>
    <vt:vector size="4" baseType="variant">
      <vt:variant>
        <vt:lpstr>Title</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16936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Артеменко Анна Ігорівна</dc:creator>
  <cp:keywords>[EBRD/NON-BANK USE]</cp:keywords>
  <dc:description/>
  <cp:lastModifiedBy>Viktoriia Ostapchenko</cp:lastModifiedBy>
  <cp:revision>2</cp:revision>
  <dcterms:created xsi:type="dcterms:W3CDTF">2024-01-30T11:04:00Z</dcterms:created>
  <dcterms:modified xsi:type="dcterms:W3CDTF">2024-01-30T11:04:00Z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294882fd-5bbb-46e6-a57f-a5f083282e72</vt:lpwstr>
  </property>
  <property fmtid="{D5CDD505-2E9C-101B-9397-08002B2CF9AE}" pid="3" name="docIndexRef">
    <vt:lpwstr>3f9b1536-2d63-4476-ae68-c18eff4e8467</vt:lpwstr>
  </property>
  <property fmtid="{D5CDD505-2E9C-101B-9397-08002B2CF9AE}" pid="4" name="bjSaver">
    <vt:lpwstr>y7hwNAk1xMXMZG/stek5HvqFtyGcgEtQ</vt:lpwstr>
  </property>
  <property fmtid="{D5CDD505-2E9C-101B-9397-08002B2CF9AE}" pid="5" name="bjDocumentLabelXML">
    <vt:lpwstr>&lt;?xml version="1.0" encoding="us-ascii"?&gt;&lt;sisl xmlns:xsd="http://www.w3.org/2001/XMLSchema" xmlns:xsi="http://www.w3.org/2001/XMLSchema-instance" sislVersion="0" policy="1d45786f-a737-4735-8af6-df12fb6939a2" origin="userSelected" xmlns="http://www.boldonj</vt:lpwstr>
  </property>
  <property fmtid="{D5CDD505-2E9C-101B-9397-08002B2CF9AE}" pid="6" name="bjDocumentLabelXML-0">
    <vt:lpwstr>ames.com/2008/01/sie/internal/label"&gt;&lt;element uid="9c87da95-7b2f-439f-bfd9-321fc51f6870" value="" /&gt;&lt;element uid="214105f6-acd4-485a-afa0-a0b988f7534c" value="" /&gt;&lt;/sisl&gt;</vt:lpwstr>
  </property>
  <property fmtid="{D5CDD505-2E9C-101B-9397-08002B2CF9AE}" pid="7" name="bjDocumentSecurityLabel">
    <vt:lpwstr>NON-BANK USE</vt:lpwstr>
  </property>
  <property fmtid="{D5CDD505-2E9C-101B-9397-08002B2CF9AE}" pid="8" name="bjClsUserRVM">
    <vt:lpwstr>[]</vt:lpwstr>
  </property>
</Properties>
</file>